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950" w:tblpY="2328"/>
        <w:tblOverlap w:val="never"/>
        <w:tblW w:w="7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5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660" w:type="dxa"/>
            <w:noWrap w:val="0"/>
            <w:vAlign w:val="center"/>
          </w:tcPr>
          <w:p>
            <w:pPr>
              <w:spacing w:line="240" w:lineRule="auto"/>
              <w:jc w:val="center"/>
              <w:rPr>
                <w:rFonts w:hint="default" w:ascii="宋体" w:hAnsi="宋体" w:eastAsia="宋体" w:cs="宋体"/>
                <w:b w:val="0"/>
                <w:bCs w:val="0"/>
                <w:i w:val="0"/>
                <w:iCs/>
                <w:color w:val="auto"/>
                <w:sz w:val="24"/>
                <w:u w:val="none"/>
                <w:vertAlign w:val="baseline"/>
                <w:lang w:val="en-US" w:eastAsia="zh-CN"/>
              </w:rPr>
            </w:pPr>
            <w:r>
              <w:rPr>
                <w:rFonts w:hint="eastAsia" w:ascii="宋体" w:hAnsi="宋体" w:eastAsia="宋体" w:cs="宋体"/>
                <w:b w:val="0"/>
                <w:bCs w:val="0"/>
                <w:i w:val="0"/>
                <w:iCs/>
                <w:color w:val="auto"/>
                <w:sz w:val="24"/>
                <w:u w:val="none"/>
                <w:vertAlign w:val="baseline"/>
                <w:lang w:val="en-US" w:eastAsia="zh-CN"/>
              </w:rPr>
              <w:t>报价</w:t>
            </w:r>
          </w:p>
        </w:tc>
        <w:tc>
          <w:tcPr>
            <w:tcW w:w="5910" w:type="dxa"/>
            <w:noWrap w:val="0"/>
            <w:vAlign w:val="center"/>
          </w:tcPr>
          <w:p>
            <w:pPr>
              <w:spacing w:line="240" w:lineRule="auto"/>
              <w:jc w:val="center"/>
              <w:rPr>
                <w:rFonts w:hint="eastAsia" w:ascii="宋体" w:hAnsi="宋体" w:eastAsia="宋体" w:cs="宋体"/>
                <w:b w:val="0"/>
                <w:bCs w:val="0"/>
                <w:i w:val="0"/>
                <w:iCs/>
                <w:color w:val="auto"/>
                <w:sz w:val="24"/>
                <w:u w:val="none"/>
                <w:vertAlign w:val="baseline"/>
                <w:lang w:val="en-US" w:eastAsia="zh-CN"/>
              </w:rPr>
            </w:pPr>
            <w:r>
              <w:rPr>
                <w:rFonts w:hint="eastAsia" w:ascii="宋体" w:hAnsi="宋体" w:eastAsia="宋体" w:cs="宋体"/>
                <w:b w:val="0"/>
                <w:bCs w:val="0"/>
                <w:i w:val="0"/>
                <w:iCs/>
                <w:color w:val="auto"/>
                <w:sz w:val="24"/>
                <w:u w:val="none"/>
                <w:vertAlign w:val="baseline"/>
                <w:lang w:val="en-US" w:eastAsia="zh-CN"/>
              </w:rPr>
              <w:t>被服物品洗涤服务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660" w:type="dxa"/>
            <w:noWrap w:val="0"/>
            <w:vAlign w:val="center"/>
          </w:tcPr>
          <w:p>
            <w:pPr>
              <w:spacing w:line="600" w:lineRule="auto"/>
              <w:rPr>
                <w:rFonts w:hint="eastAsia" w:ascii="宋体" w:hAnsi="宋体" w:eastAsia="宋体" w:cs="宋体"/>
                <w:b w:val="0"/>
                <w:bCs w:val="0"/>
                <w:i w:val="0"/>
                <w:iCs/>
                <w:color w:val="auto"/>
                <w:sz w:val="24"/>
                <w:u w:val="none"/>
                <w:vertAlign w:val="baseline"/>
                <w:lang w:val="en-US" w:eastAsia="zh-CN"/>
              </w:rPr>
            </w:pPr>
            <w:r>
              <w:rPr>
                <w:rFonts w:hint="eastAsia" w:ascii="宋体" w:hAnsi="宋体" w:cs="宋体"/>
                <w:b w:val="0"/>
                <w:bCs w:val="0"/>
                <w:i w:val="0"/>
                <w:iCs/>
                <w:color w:val="auto"/>
                <w:sz w:val="24"/>
                <w:u w:val="none"/>
                <w:vertAlign w:val="baseline"/>
                <w:lang w:val="en-US" w:eastAsia="zh-CN"/>
              </w:rPr>
              <w:t>单价</w:t>
            </w:r>
            <w:r>
              <w:rPr>
                <w:rFonts w:hint="eastAsia" w:ascii="宋体" w:hAnsi="宋体" w:eastAsia="宋体" w:cs="宋体"/>
                <w:b w:val="0"/>
                <w:bCs w:val="0"/>
                <w:i w:val="0"/>
                <w:iCs/>
                <w:color w:val="auto"/>
                <w:sz w:val="24"/>
                <w:u w:val="none"/>
                <w:vertAlign w:val="baseline"/>
                <w:lang w:val="en-US" w:eastAsia="zh-CN"/>
              </w:rPr>
              <w:t>报价</w:t>
            </w:r>
          </w:p>
          <w:p>
            <w:pPr>
              <w:spacing w:line="600" w:lineRule="auto"/>
              <w:rPr>
                <w:rFonts w:hint="eastAsia" w:ascii="宋体" w:hAnsi="宋体" w:cs="宋体"/>
                <w:b w:val="0"/>
                <w:bCs w:val="0"/>
                <w:i w:val="0"/>
                <w:iCs/>
                <w:color w:val="auto"/>
                <w:sz w:val="24"/>
                <w:u w:val="none"/>
                <w:vertAlign w:val="baseline"/>
                <w:lang w:val="en-US" w:eastAsia="zh-CN"/>
              </w:rPr>
            </w:pPr>
            <w:r>
              <w:rPr>
                <w:rFonts w:hint="eastAsia" w:ascii="宋体" w:hAnsi="宋体" w:cs="宋体"/>
                <w:b w:val="0"/>
                <w:bCs w:val="0"/>
                <w:i w:val="0"/>
                <w:iCs/>
                <w:color w:val="auto"/>
                <w:sz w:val="24"/>
                <w:u w:val="none"/>
                <w:vertAlign w:val="baseline"/>
                <w:lang w:val="en-US" w:eastAsia="zh-CN"/>
              </w:rPr>
              <w:t>（元/公斤）</w:t>
            </w:r>
          </w:p>
        </w:tc>
        <w:tc>
          <w:tcPr>
            <w:tcW w:w="5910" w:type="dxa"/>
            <w:noWrap w:val="0"/>
            <w:vAlign w:val="top"/>
          </w:tcPr>
          <w:p>
            <w:pPr>
              <w:spacing w:line="600" w:lineRule="auto"/>
              <w:jc w:val="left"/>
              <w:rPr>
                <w:rFonts w:hint="eastAsia" w:ascii="宋体" w:hAnsi="宋体" w:eastAsia="宋体" w:cs="宋体"/>
                <w:b w:val="0"/>
                <w:bCs w:val="0"/>
                <w:i w:val="0"/>
                <w:iCs/>
                <w:color w:val="auto"/>
                <w:sz w:val="24"/>
                <w:u w:val="none"/>
                <w:vertAlign w:val="baseline"/>
                <w:lang w:val="en-US" w:eastAsia="zh-CN"/>
              </w:rPr>
            </w:pPr>
            <w:r>
              <w:rPr>
                <w:rFonts w:hint="eastAsia" w:ascii="宋体" w:hAnsi="宋体" w:eastAsia="宋体" w:cs="宋体"/>
                <w:b w:val="0"/>
                <w:bCs w:val="0"/>
                <w:i w:val="0"/>
                <w:iCs/>
                <w:color w:val="auto"/>
                <w:sz w:val="24"/>
                <w:u w:val="none"/>
                <w:vertAlign w:val="baseline"/>
                <w:lang w:val="en-US" w:eastAsia="zh-CN"/>
              </w:rPr>
              <w:t xml:space="preserve">小写：                 </w:t>
            </w:r>
          </w:p>
          <w:p>
            <w:pPr>
              <w:spacing w:line="600" w:lineRule="auto"/>
              <w:jc w:val="left"/>
              <w:rPr>
                <w:rFonts w:hint="eastAsia" w:ascii="宋体" w:hAnsi="宋体" w:eastAsia="宋体" w:cs="宋体"/>
                <w:b w:val="0"/>
                <w:bCs w:val="0"/>
                <w:i w:val="0"/>
                <w:iCs/>
                <w:color w:val="auto"/>
                <w:sz w:val="24"/>
                <w:u w:val="none"/>
                <w:vertAlign w:val="baseline"/>
                <w:lang w:val="en-US" w:eastAsia="zh-CN"/>
              </w:rPr>
            </w:pPr>
            <w:r>
              <w:rPr>
                <w:rFonts w:hint="eastAsia" w:ascii="宋体" w:hAnsi="宋体" w:eastAsia="宋体" w:cs="宋体"/>
                <w:b w:val="0"/>
                <w:bCs w:val="0"/>
                <w:i w:val="0"/>
                <w:iCs/>
                <w:color w:val="auto"/>
                <w:sz w:val="24"/>
                <w:u w:val="none"/>
                <w:vertAlign w:val="baseline"/>
                <w:lang w:val="en-US" w:eastAsia="zh-CN"/>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660" w:type="dxa"/>
            <w:noWrap w:val="0"/>
            <w:vAlign w:val="top"/>
          </w:tcPr>
          <w:p>
            <w:pPr>
              <w:spacing w:line="600" w:lineRule="auto"/>
              <w:rPr>
                <w:rFonts w:hint="eastAsia" w:ascii="宋体" w:hAnsi="宋体" w:eastAsia="宋体" w:cs="宋体"/>
                <w:b w:val="0"/>
                <w:bCs w:val="0"/>
                <w:i w:val="0"/>
                <w:iCs/>
                <w:color w:val="auto"/>
                <w:sz w:val="24"/>
                <w:u w:val="none"/>
                <w:vertAlign w:val="baseline"/>
                <w:lang w:val="en-US" w:eastAsia="zh-CN"/>
              </w:rPr>
            </w:pPr>
            <w:r>
              <w:rPr>
                <w:rFonts w:hint="eastAsia" w:ascii="宋体" w:hAnsi="宋体" w:eastAsia="宋体" w:cs="宋体"/>
                <w:b w:val="0"/>
                <w:bCs w:val="0"/>
                <w:i w:val="0"/>
                <w:iCs/>
                <w:color w:val="auto"/>
                <w:sz w:val="24"/>
                <w:u w:val="none"/>
                <w:vertAlign w:val="baseline"/>
                <w:lang w:val="en-US" w:eastAsia="zh-CN"/>
              </w:rPr>
              <w:t>备注</w:t>
            </w:r>
          </w:p>
        </w:tc>
        <w:tc>
          <w:tcPr>
            <w:tcW w:w="5910" w:type="dxa"/>
            <w:noWrap w:val="0"/>
            <w:vAlign w:val="top"/>
          </w:tcPr>
          <w:p>
            <w:pPr>
              <w:spacing w:line="600" w:lineRule="auto"/>
              <w:rPr>
                <w:rFonts w:hint="eastAsia" w:ascii="宋体" w:hAnsi="宋体" w:eastAsia="宋体" w:cs="宋体"/>
                <w:b/>
                <w:bCs/>
                <w:i/>
                <w:sz w:val="24"/>
                <w:u w:val="single"/>
                <w:vertAlign w:val="baseline"/>
              </w:rPr>
            </w:pPr>
          </w:p>
        </w:tc>
      </w:tr>
    </w:tbl>
    <w:p>
      <w:pPr>
        <w:jc w:val="cente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吉林大学第二医院</w:t>
      </w:r>
      <w:r>
        <w:rPr>
          <w:rFonts w:hint="eastAsia" w:ascii="宋体" w:hAnsi="宋体" w:eastAsia="宋体" w:cs="宋体"/>
          <w:color w:val="auto"/>
          <w:sz w:val="32"/>
          <w:szCs w:val="32"/>
          <w:shd w:val="clear" w:color="auto" w:fill="FFFFFF"/>
          <w:lang w:val="en-US" w:eastAsia="zh-CN"/>
        </w:rPr>
        <w:t>被服物品洗涤服务</w:t>
      </w:r>
      <w:r>
        <w:rPr>
          <w:rFonts w:hint="eastAsia" w:ascii="宋体" w:hAnsi="宋体" w:cs="宋体"/>
          <w:b w:val="0"/>
          <w:bCs w:val="0"/>
          <w:sz w:val="28"/>
          <w:szCs w:val="28"/>
          <w:lang w:val="en-US" w:eastAsia="zh-CN"/>
        </w:rPr>
        <w:t>报价单</w:t>
      </w:r>
    </w:p>
    <w:p>
      <w:pPr>
        <w:pStyle w:val="3"/>
      </w:pPr>
    </w:p>
    <w:p/>
    <w:p>
      <w:pPr>
        <w:spacing w:line="360" w:lineRule="auto"/>
        <w:rPr>
          <w:rFonts w:hint="eastAsia" w:ascii="宋体" w:hAnsi="宋体" w:cs="宋体"/>
          <w:bCs/>
          <w:sz w:val="24"/>
          <w:lang w:val="en-US" w:eastAsia="zh-CN"/>
        </w:rPr>
      </w:pPr>
    </w:p>
    <w:p>
      <w:pPr>
        <w:spacing w:line="360" w:lineRule="auto"/>
        <w:rPr>
          <w:rFonts w:hint="eastAsia" w:ascii="宋体" w:hAnsi="宋体" w:cs="宋体"/>
          <w:bCs/>
          <w:sz w:val="24"/>
          <w:lang w:val="en-US" w:eastAsia="zh-CN"/>
        </w:rPr>
      </w:pPr>
    </w:p>
    <w:p>
      <w:pPr>
        <w:spacing w:line="360" w:lineRule="auto"/>
        <w:rPr>
          <w:rFonts w:hint="eastAsia" w:ascii="宋体" w:hAnsi="宋体" w:cs="宋体"/>
          <w:bCs/>
          <w:sz w:val="24"/>
          <w:lang w:val="en-US" w:eastAsia="zh-CN"/>
        </w:rPr>
      </w:pPr>
    </w:p>
    <w:p>
      <w:pPr>
        <w:spacing w:line="360" w:lineRule="auto"/>
        <w:rPr>
          <w:rFonts w:hint="eastAsia" w:ascii="宋体" w:hAnsi="宋体" w:cs="宋体"/>
          <w:bCs/>
          <w:sz w:val="24"/>
          <w:lang w:val="en-US" w:eastAsia="zh-CN"/>
        </w:rPr>
      </w:pPr>
    </w:p>
    <w:p>
      <w:pPr>
        <w:spacing w:line="360" w:lineRule="auto"/>
        <w:rPr>
          <w:rFonts w:hint="eastAsia" w:ascii="宋体" w:hAnsi="宋体" w:cs="宋体"/>
          <w:bCs/>
          <w:sz w:val="24"/>
          <w:lang w:val="en-US" w:eastAsia="zh-CN"/>
        </w:rPr>
      </w:pPr>
    </w:p>
    <w:p>
      <w:pPr>
        <w:spacing w:line="360" w:lineRule="auto"/>
        <w:rPr>
          <w:rFonts w:hint="eastAsia" w:ascii="宋体" w:hAnsi="宋体" w:cs="宋体"/>
          <w:bCs/>
          <w:sz w:val="24"/>
          <w:lang w:val="en-US" w:eastAsia="zh-CN"/>
        </w:rPr>
      </w:pPr>
    </w:p>
    <w:p>
      <w:pPr>
        <w:spacing w:line="360" w:lineRule="auto"/>
        <w:rPr>
          <w:rFonts w:hint="eastAsia" w:ascii="宋体" w:hAnsi="宋体" w:cs="宋体"/>
          <w:bCs/>
          <w:sz w:val="24"/>
          <w:lang w:val="en-US" w:eastAsia="zh-CN"/>
        </w:rPr>
      </w:pPr>
    </w:p>
    <w:p>
      <w:pPr>
        <w:spacing w:line="360" w:lineRule="auto"/>
        <w:rPr>
          <w:rFonts w:hint="eastAsia" w:ascii="宋体" w:hAnsi="宋体" w:cs="宋体"/>
          <w:bCs/>
          <w:sz w:val="24"/>
          <w:lang w:val="en-US" w:eastAsia="zh-CN"/>
        </w:rPr>
      </w:pPr>
    </w:p>
    <w:p>
      <w:pPr>
        <w:spacing w:line="360" w:lineRule="auto"/>
        <w:rPr>
          <w:rFonts w:hint="eastAsia" w:ascii="宋体" w:hAnsi="宋体" w:cs="宋体"/>
          <w:bCs/>
          <w:sz w:val="24"/>
          <w:lang w:val="en-US" w:eastAsia="zh-CN"/>
        </w:rPr>
      </w:pPr>
    </w:p>
    <w:p>
      <w:pPr>
        <w:spacing w:line="360" w:lineRule="auto"/>
        <w:rPr>
          <w:rFonts w:hint="eastAsia" w:ascii="宋体" w:hAnsi="宋体" w:cs="宋体"/>
          <w:bCs/>
          <w:sz w:val="24"/>
          <w:lang w:val="en-US" w:eastAsia="zh-CN"/>
        </w:rPr>
      </w:pPr>
    </w:p>
    <w:p>
      <w:pPr>
        <w:spacing w:line="360" w:lineRule="auto"/>
        <w:rPr>
          <w:rFonts w:hint="eastAsia" w:ascii="宋体" w:hAnsi="宋体" w:cs="宋体"/>
          <w:bCs/>
          <w:sz w:val="24"/>
          <w:lang w:val="en-US" w:eastAsia="zh-CN"/>
        </w:rPr>
      </w:pPr>
    </w:p>
    <w:p>
      <w:pPr>
        <w:spacing w:line="360" w:lineRule="auto"/>
        <w:rPr>
          <w:rFonts w:hint="eastAsia" w:ascii="宋体" w:hAnsi="宋体" w:eastAsia="宋体" w:cs="宋体"/>
          <w:bCs/>
          <w:sz w:val="24"/>
        </w:rPr>
      </w:pPr>
      <w:r>
        <w:rPr>
          <w:rFonts w:hint="eastAsia" w:ascii="宋体" w:hAnsi="宋体" w:cs="宋体"/>
          <w:bCs/>
          <w:sz w:val="24"/>
          <w:lang w:val="en-US" w:eastAsia="zh-CN"/>
        </w:rPr>
        <w:t>单位</w:t>
      </w:r>
      <w:r>
        <w:rPr>
          <w:rFonts w:hint="eastAsia" w:ascii="宋体" w:hAnsi="宋体" w:eastAsia="宋体" w:cs="宋体"/>
          <w:bCs/>
          <w:sz w:val="24"/>
        </w:rPr>
        <w:t>名称（加盖公章）：</w:t>
      </w:r>
    </w:p>
    <w:p>
      <w:pPr>
        <w:pStyle w:val="3"/>
      </w:pPr>
    </w:p>
    <w:p/>
    <w:p>
      <w:pPr>
        <w:pStyle w:val="3"/>
      </w:pPr>
    </w:p>
    <w:p/>
    <w:p>
      <w:pPr>
        <w:pStyle w:val="3"/>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bookmarkStart w:id="0" w:name="_GoBack"/>
      <w:bookmarkEnd w:id="0"/>
    </w:p>
    <w:p>
      <w:pPr>
        <w:pStyle w:val="3"/>
      </w:pPr>
    </w:p>
    <w:p>
      <w:pPr>
        <w:spacing w:line="360" w:lineRule="auto"/>
        <w:rPr>
          <w:rFonts w:hint="eastAsia" w:ascii="宋体" w:hAnsi="宋体" w:eastAsia="宋体" w:cs="宋体"/>
          <w:b w:val="0"/>
          <w:bCs w:val="0"/>
          <w:i w:val="0"/>
          <w:caps w:val="0"/>
          <w:color w:val="333333"/>
          <w:spacing w:val="0"/>
          <w:sz w:val="28"/>
          <w:szCs w:val="28"/>
        </w:rPr>
      </w:pPr>
      <w:r>
        <w:rPr>
          <w:rFonts w:hint="eastAsia" w:ascii="宋体" w:hAnsi="宋体" w:eastAsia="宋体" w:cs="宋体"/>
          <w:b w:val="0"/>
          <w:bCs w:val="0"/>
          <w:i w:val="0"/>
          <w:caps w:val="0"/>
          <w:color w:val="333333"/>
          <w:spacing w:val="0"/>
          <w:sz w:val="28"/>
          <w:szCs w:val="28"/>
        </w:rPr>
        <w:t>技术要求</w:t>
      </w:r>
    </w:p>
    <w:p>
      <w:pPr>
        <w:autoSpaceDE w:val="0"/>
        <w:autoSpaceDN w:val="0"/>
        <w:adjustRightInd w:val="0"/>
        <w:spacing w:line="36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1.服务范围：</w:t>
      </w:r>
      <w:r>
        <w:rPr>
          <w:rFonts w:hint="eastAsia" w:ascii="宋体" w:hAnsi="宋体" w:eastAsia="宋体" w:cs="宋体"/>
          <w:sz w:val="24"/>
          <w:highlight w:val="none"/>
          <w:lang w:val="en-US" w:eastAsia="zh-CN"/>
        </w:rPr>
        <w:t>医用织物、感染性织物和脏污织物（如患者使用的</w:t>
      </w:r>
      <w:r>
        <w:rPr>
          <w:rFonts w:hint="eastAsia" w:ascii="宋体" w:hAnsi="宋体" w:eastAsia="宋体" w:cs="宋体"/>
          <w:sz w:val="24"/>
          <w:highlight w:val="none"/>
          <w:lang w:val="zh-CN" w:eastAsia="zh-CN"/>
        </w:rPr>
        <w:t>床单、被套；</w:t>
      </w:r>
      <w:r>
        <w:rPr>
          <w:rFonts w:hint="eastAsia" w:ascii="宋体" w:hAnsi="宋体" w:eastAsia="宋体" w:cs="宋体"/>
          <w:sz w:val="24"/>
          <w:highlight w:val="none"/>
          <w:lang w:val="en-US" w:eastAsia="zh-CN"/>
        </w:rPr>
        <w:t>工作人员使用的工作服；手术铺单</w:t>
      </w:r>
      <w:r>
        <w:rPr>
          <w:rFonts w:hint="eastAsia" w:ascii="宋体" w:hAnsi="宋体" w:eastAsia="宋体" w:cs="宋体"/>
          <w:sz w:val="24"/>
          <w:highlight w:val="none"/>
          <w:lang w:val="zh-CN" w:eastAsia="zh-CN"/>
        </w:rPr>
        <w:t>、手术衣；</w:t>
      </w:r>
      <w:r>
        <w:rPr>
          <w:rFonts w:hint="eastAsia" w:ascii="宋体" w:hAnsi="宋体" w:eastAsia="宋体" w:cs="宋体"/>
          <w:sz w:val="24"/>
          <w:highlight w:val="none"/>
          <w:lang w:val="en-US" w:eastAsia="zh-CN"/>
        </w:rPr>
        <w:t>环境清洁使用的</w:t>
      </w:r>
      <w:r>
        <w:rPr>
          <w:rFonts w:hint="eastAsia" w:ascii="宋体" w:hAnsi="宋体" w:eastAsia="宋体" w:cs="宋体"/>
          <w:sz w:val="24"/>
          <w:highlight w:val="none"/>
          <w:lang w:eastAsia="zh-CN"/>
        </w:rPr>
        <w:t>地巾</w:t>
      </w:r>
      <w:r>
        <w:rPr>
          <w:rFonts w:hint="eastAsia" w:ascii="宋体" w:hAnsi="宋体" w:eastAsia="宋体" w:cs="宋体"/>
          <w:sz w:val="24"/>
          <w:highlight w:val="none"/>
          <w:lang w:val="zh-CN" w:eastAsia="zh-CN"/>
        </w:rPr>
        <w:t>等物品洗涤，</w:t>
      </w:r>
      <w:r>
        <w:rPr>
          <w:rFonts w:hint="eastAsia" w:ascii="宋体" w:hAnsi="宋体" w:eastAsia="宋体" w:cs="宋体"/>
          <w:sz w:val="24"/>
          <w:highlight w:val="none"/>
          <w:lang w:val="en-US" w:eastAsia="zh-CN"/>
        </w:rPr>
        <w:t>具体品种以</w:t>
      </w:r>
      <w:r>
        <w:rPr>
          <w:rFonts w:hint="eastAsia" w:ascii="宋体" w:hAnsi="宋体" w:eastAsia="宋体" w:cs="宋体"/>
          <w:sz w:val="24"/>
          <w:highlight w:val="none"/>
          <w:lang w:val="zh-CN" w:eastAsia="zh-CN"/>
        </w:rPr>
        <w:t>医院根据实际情况确定）</w:t>
      </w:r>
      <w:r>
        <w:rPr>
          <w:rFonts w:hint="eastAsia" w:ascii="宋体" w:hAnsi="宋体" w:eastAsia="宋体" w:cs="宋体"/>
          <w:sz w:val="24"/>
          <w:highlight w:val="none"/>
          <w:lang w:val="en-US" w:eastAsia="zh-CN"/>
        </w:rPr>
        <w:t>。</w:t>
      </w:r>
    </w:p>
    <w:p>
      <w:pPr>
        <w:spacing w:line="360" w:lineRule="auto"/>
        <w:ind w:left="0" w:leftChars="0" w:firstLine="0" w:firstLineChars="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r>
        <w:rPr>
          <w:rFonts w:hint="eastAsia" w:ascii="宋体" w:hAnsi="宋体" w:cs="仿宋"/>
          <w:sz w:val="24"/>
          <w:szCs w:val="24"/>
          <w:highlight w:val="none"/>
          <w:lang w:val="en-US" w:eastAsia="zh-CN"/>
        </w:rPr>
        <w:t>质量</w:t>
      </w:r>
      <w:r>
        <w:rPr>
          <w:rFonts w:hint="eastAsia" w:ascii="宋体" w:hAnsi="宋体" w:cs="仿宋"/>
          <w:sz w:val="24"/>
          <w:szCs w:val="24"/>
          <w:highlight w:val="none"/>
        </w:rPr>
        <w:t>要总体达到</w:t>
      </w:r>
      <w:r>
        <w:rPr>
          <w:rFonts w:hint="eastAsia" w:ascii="宋体" w:hAnsi="宋体" w:cs="仿宋"/>
          <w:sz w:val="24"/>
          <w:szCs w:val="24"/>
          <w:highlight w:val="none"/>
          <w:lang w:eastAsia="zh-CN"/>
        </w:rPr>
        <w:t>院方及《</w:t>
      </w:r>
      <w:r>
        <w:rPr>
          <w:rFonts w:hint="eastAsia" w:ascii="宋体" w:hAnsi="宋体" w:cs="仿宋"/>
          <w:sz w:val="24"/>
          <w:szCs w:val="24"/>
          <w:highlight w:val="none"/>
          <w:lang w:val="en-US" w:eastAsia="zh-CN"/>
        </w:rPr>
        <w:t>医院医用织物洗涤消毒技术规范</w:t>
      </w:r>
      <w:r>
        <w:rPr>
          <w:rFonts w:hint="eastAsia" w:ascii="宋体" w:hAnsi="宋体" w:cs="仿宋"/>
          <w:sz w:val="24"/>
          <w:szCs w:val="24"/>
          <w:highlight w:val="none"/>
          <w:lang w:eastAsia="zh-CN"/>
        </w:rPr>
        <w:t>》（</w:t>
      </w:r>
      <w:r>
        <w:rPr>
          <w:rFonts w:hint="eastAsia" w:ascii="宋体" w:hAnsi="宋体" w:cs="仿宋"/>
          <w:sz w:val="24"/>
          <w:szCs w:val="24"/>
          <w:highlight w:val="none"/>
          <w:lang w:val="en-US" w:eastAsia="zh-CN"/>
        </w:rPr>
        <w:t>WS/T508-2016</w:t>
      </w:r>
      <w:r>
        <w:rPr>
          <w:rFonts w:hint="eastAsia" w:ascii="宋体" w:hAnsi="宋体" w:cs="仿宋"/>
          <w:sz w:val="24"/>
          <w:szCs w:val="24"/>
          <w:highlight w:val="none"/>
          <w:lang w:eastAsia="zh-CN"/>
        </w:rPr>
        <w:t>）等对医护用品的统一标准</w:t>
      </w:r>
      <w:r>
        <w:rPr>
          <w:rFonts w:hint="eastAsia" w:ascii="宋体" w:hAnsi="宋体" w:cs="仿宋"/>
          <w:sz w:val="24"/>
          <w:szCs w:val="24"/>
          <w:highlight w:val="none"/>
        </w:rPr>
        <w:t>。</w:t>
      </w:r>
      <w:r>
        <w:rPr>
          <w:rFonts w:hint="eastAsia"/>
          <w:sz w:val="24"/>
          <w:szCs w:val="24"/>
          <w:highlight w:val="none"/>
          <w:lang w:eastAsia="zh-CN"/>
        </w:rPr>
        <w:t>中标单位</w:t>
      </w:r>
      <w:r>
        <w:rPr>
          <w:rFonts w:hint="eastAsia"/>
          <w:sz w:val="24"/>
          <w:szCs w:val="24"/>
          <w:highlight w:val="none"/>
        </w:rPr>
        <w:t>必须保质保量的及时完成</w:t>
      </w:r>
      <w:r>
        <w:rPr>
          <w:rFonts w:hint="eastAsia"/>
          <w:sz w:val="24"/>
          <w:szCs w:val="24"/>
          <w:highlight w:val="none"/>
          <w:lang w:eastAsia="zh-CN"/>
        </w:rPr>
        <w:t>招标单位</w:t>
      </w:r>
      <w:r>
        <w:rPr>
          <w:rFonts w:hint="eastAsia"/>
          <w:sz w:val="24"/>
          <w:szCs w:val="24"/>
          <w:highlight w:val="none"/>
        </w:rPr>
        <w:t>的全部洗涤业务，并对洗涤质量负责，建立完善的服务标准和规章制度</w:t>
      </w:r>
      <w:r>
        <w:rPr>
          <w:rFonts w:hint="eastAsia"/>
          <w:sz w:val="24"/>
          <w:szCs w:val="24"/>
          <w:highlight w:val="none"/>
          <w:lang w:val="en-US" w:eastAsia="zh-CN"/>
        </w:rPr>
        <w:t>及</w:t>
      </w:r>
      <w:r>
        <w:rPr>
          <w:rFonts w:hint="eastAsia"/>
          <w:sz w:val="24"/>
          <w:szCs w:val="24"/>
          <w:highlight w:val="none"/>
        </w:rPr>
        <w:t>保证质量措施，以确保服务质量。</w:t>
      </w:r>
      <w:r>
        <w:rPr>
          <w:rFonts w:hint="eastAsia" w:ascii="宋体" w:hAnsi="宋体" w:cs="仿宋"/>
          <w:sz w:val="24"/>
          <w:szCs w:val="24"/>
          <w:highlight w:val="none"/>
          <w:lang w:val="en-US" w:eastAsia="zh-CN"/>
        </w:rPr>
        <w:t>院方抽检未达标的布草需返工处理，不予计价。</w:t>
      </w:r>
    </w:p>
    <w:p>
      <w:pPr>
        <w:spacing w:line="360" w:lineRule="auto"/>
        <w:ind w:left="480"/>
        <w:rPr>
          <w:rFonts w:hint="eastAsia" w:ascii="宋体" w:hAnsi="宋体" w:cs="宋体"/>
          <w:sz w:val="24"/>
          <w:highlight w:val="none"/>
          <w:lang w:val="en-US" w:eastAsia="zh-CN"/>
        </w:rPr>
      </w:pPr>
      <w:r>
        <w:rPr>
          <w:rFonts w:hint="eastAsia" w:ascii="宋体" w:hAnsi="宋体" w:cs="宋体"/>
          <w:sz w:val="24"/>
          <w:highlight w:val="none"/>
          <w:lang w:val="en-US" w:eastAsia="zh-CN"/>
        </w:rPr>
        <w:t>1）应有备用应急电源；</w:t>
      </w:r>
    </w:p>
    <w:p>
      <w:pPr>
        <w:spacing w:line="360" w:lineRule="auto"/>
        <w:ind w:left="480"/>
        <w:rPr>
          <w:rFonts w:hint="eastAsia" w:ascii="宋体" w:hAnsi="宋体" w:cs="宋体"/>
          <w:sz w:val="24"/>
          <w:highlight w:val="none"/>
          <w:lang w:val="en-US" w:eastAsia="zh-CN"/>
        </w:rPr>
      </w:pPr>
      <w:r>
        <w:rPr>
          <w:rFonts w:hint="eastAsia" w:ascii="宋体" w:hAnsi="宋体" w:cs="宋体"/>
          <w:sz w:val="24"/>
          <w:highlight w:val="none"/>
          <w:lang w:val="en-US" w:eastAsia="zh-CN"/>
        </w:rPr>
        <w:t>2）2台以上蒸汽锅炉，至少一用一备；</w:t>
      </w:r>
    </w:p>
    <w:p>
      <w:pPr>
        <w:spacing w:line="360" w:lineRule="auto"/>
        <w:ind w:left="480"/>
        <w:rPr>
          <w:rFonts w:hint="eastAsia" w:ascii="宋体" w:hAnsi="宋体" w:cs="宋体"/>
          <w:sz w:val="24"/>
          <w:highlight w:val="none"/>
          <w:lang w:val="en-US" w:eastAsia="zh-CN"/>
        </w:rPr>
      </w:pPr>
      <w:r>
        <w:rPr>
          <w:rFonts w:hint="eastAsia" w:ascii="宋体" w:hAnsi="宋体" w:cs="宋体"/>
          <w:sz w:val="24"/>
          <w:highlight w:val="none"/>
          <w:lang w:val="en-US" w:eastAsia="zh-CN"/>
        </w:rPr>
        <w:t>3）污水处理设施；</w:t>
      </w:r>
    </w:p>
    <w:p>
      <w:pPr>
        <w:spacing w:line="360" w:lineRule="auto"/>
        <w:ind w:left="480"/>
        <w:rPr>
          <w:rFonts w:hint="eastAsia" w:ascii="宋体" w:hAnsi="宋体" w:cs="宋体"/>
          <w:sz w:val="24"/>
          <w:highlight w:val="none"/>
          <w:lang w:val="en-US" w:eastAsia="zh-CN"/>
        </w:rPr>
      </w:pPr>
      <w:r>
        <w:rPr>
          <w:rFonts w:hint="eastAsia" w:ascii="宋体" w:hAnsi="宋体" w:cs="宋体"/>
          <w:sz w:val="24"/>
          <w:highlight w:val="none"/>
          <w:lang w:val="en-US" w:eastAsia="zh-CN"/>
        </w:rPr>
        <w:t>4）设置污染区（包括收物交接、分拣区、洗涤/消毒和污车存放处）和清洁区（包括烘干、熨烫、修补、折叠、储存、运送以及洁车存放处），两区之间应有完全隔离屏障；</w:t>
      </w:r>
    </w:p>
    <w:p>
      <w:pPr>
        <w:spacing w:line="360" w:lineRule="auto"/>
        <w:ind w:left="480"/>
        <w:rPr>
          <w:rFonts w:hint="eastAsia" w:ascii="宋体" w:hAnsi="宋体" w:cs="宋体"/>
          <w:sz w:val="24"/>
          <w:highlight w:val="none"/>
          <w:lang w:val="en-US" w:eastAsia="zh-CN"/>
        </w:rPr>
      </w:pPr>
      <w:r>
        <w:rPr>
          <w:rFonts w:hint="eastAsia" w:ascii="宋体" w:hAnsi="宋体" w:cs="宋体"/>
          <w:sz w:val="24"/>
          <w:highlight w:val="none"/>
          <w:lang w:val="en-US" w:eastAsia="zh-CN"/>
        </w:rPr>
        <w:t>5）医患人员用品分开洗涤，同时具备洗涤感染性医用织物的隔离间；</w:t>
      </w:r>
    </w:p>
    <w:p>
      <w:pPr>
        <w:spacing w:line="360" w:lineRule="auto"/>
        <w:ind w:left="480"/>
        <w:rPr>
          <w:rFonts w:hint="eastAsia" w:ascii="宋体" w:hAnsi="宋体" w:cs="宋体"/>
          <w:sz w:val="24"/>
          <w:highlight w:val="none"/>
          <w:lang w:val="en-US" w:eastAsia="zh-CN"/>
        </w:rPr>
      </w:pPr>
      <w:r>
        <w:rPr>
          <w:rFonts w:hint="eastAsia" w:ascii="宋体" w:hAnsi="宋体" w:cs="宋体"/>
          <w:sz w:val="24"/>
          <w:highlight w:val="none"/>
          <w:lang w:val="en-US" w:eastAsia="zh-CN"/>
        </w:rPr>
        <w:t>6）具有专业的检测能力，以保证洗涤后医用织物的物理、微生物达标；</w:t>
      </w:r>
    </w:p>
    <w:p>
      <w:pPr>
        <w:spacing w:line="360" w:lineRule="auto"/>
        <w:ind w:left="480"/>
        <w:rPr>
          <w:rFonts w:hint="eastAsia"/>
          <w:highlight w:val="none"/>
        </w:rPr>
      </w:pPr>
      <w:r>
        <w:rPr>
          <w:rFonts w:hint="eastAsia" w:ascii="宋体" w:hAnsi="宋体" w:cs="宋体"/>
          <w:sz w:val="24"/>
          <w:highlight w:val="none"/>
          <w:lang w:val="en-US" w:eastAsia="zh-CN"/>
        </w:rPr>
        <w:t>7）洗涤后的医用织物要有专属的无菌存放区。</w:t>
      </w:r>
    </w:p>
    <w:p>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3.称重内容需是已清洁干净且干燥好的</w:t>
      </w:r>
      <w:r>
        <w:rPr>
          <w:rFonts w:hint="eastAsia" w:ascii="宋体" w:hAnsi="宋体" w:eastAsia="宋体" w:cs="宋体"/>
          <w:b w:val="0"/>
          <w:bCs w:val="0"/>
          <w:sz w:val="24"/>
          <w:szCs w:val="24"/>
          <w:highlight w:val="none"/>
          <w:lang w:val="en-US" w:eastAsia="zh-CN"/>
        </w:rPr>
        <w:t>医用织物</w:t>
      </w:r>
      <w:r>
        <w:rPr>
          <w:rFonts w:hint="eastAsia" w:ascii="宋体" w:hAnsi="宋体" w:eastAsia="宋体" w:cs="宋体"/>
          <w:b w:val="0"/>
          <w:bCs w:val="0"/>
          <w:sz w:val="24"/>
          <w:szCs w:val="24"/>
          <w:highlight w:val="none"/>
        </w:rPr>
        <w:t>。</w:t>
      </w:r>
    </w:p>
    <w:p>
      <w:pPr>
        <w:spacing w:line="360" w:lineRule="auto"/>
        <w:ind w:left="0" w:leftChars="0" w:firstLine="0" w:firstLineChars="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4.付款方式：中标单位每月按上一个月实际发生额度，</w:t>
      </w:r>
      <w:r>
        <w:rPr>
          <w:rFonts w:hint="eastAsia" w:ascii="宋体" w:hAnsi="宋体" w:eastAsia="宋体" w:cs="宋体"/>
          <w:b w:val="0"/>
          <w:bCs w:val="0"/>
          <w:sz w:val="24"/>
          <w:szCs w:val="24"/>
          <w:highlight w:val="none"/>
          <w:lang w:val="en-US" w:eastAsia="zh-CN"/>
        </w:rPr>
        <w:t>中标单位须开具</w:t>
      </w:r>
      <w:r>
        <w:rPr>
          <w:rFonts w:hint="eastAsia" w:ascii="宋体" w:hAnsi="宋体" w:eastAsia="宋体" w:cs="宋体"/>
          <w:b w:val="0"/>
          <w:bCs w:val="0"/>
          <w:sz w:val="24"/>
          <w:szCs w:val="24"/>
          <w:highlight w:val="none"/>
        </w:rPr>
        <w:t>发票，招标单位以转账形式支付已完工作内容的价款。</w:t>
      </w:r>
    </w:p>
    <w:p>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5.配送：取送及物流洗涤物由中标单位负责，并承担相关费用。</w:t>
      </w:r>
    </w:p>
    <w:p>
      <w:pPr>
        <w:spacing w:line="360" w:lineRule="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rPr>
        <w:t>6.</w:t>
      </w:r>
      <w:r>
        <w:rPr>
          <w:rFonts w:hint="eastAsia" w:ascii="宋体" w:hAnsi="宋体" w:eastAsia="宋体" w:cs="宋体"/>
          <w:b w:val="0"/>
          <w:bCs w:val="0"/>
          <w:sz w:val="24"/>
          <w:szCs w:val="24"/>
          <w:highlight w:val="none"/>
          <w:lang w:val="zh-CN"/>
        </w:rPr>
        <w:t>投标人在报价中所报的单价和合价，以及投标报价汇总表中的价格均已包括了实施和完成合同所需的劳务、材料、机械、缺陷修复、管理、保险、利润、规费及税金等全部费用，以及合同的所有风险、责任和义务。</w:t>
      </w:r>
    </w:p>
    <w:p>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7.中标单位</w:t>
      </w:r>
      <w:r>
        <w:rPr>
          <w:rFonts w:hint="eastAsia" w:ascii="宋体" w:hAnsi="宋体" w:eastAsia="宋体" w:cs="宋体"/>
          <w:b w:val="0"/>
          <w:bCs w:val="0"/>
          <w:sz w:val="24"/>
          <w:szCs w:val="24"/>
          <w:highlight w:val="none"/>
        </w:rPr>
        <w:t>按照</w:t>
      </w:r>
      <w:r>
        <w:rPr>
          <w:rFonts w:hint="eastAsia" w:ascii="宋体" w:hAnsi="宋体" w:eastAsia="宋体" w:cs="宋体"/>
          <w:b w:val="0"/>
          <w:bCs w:val="0"/>
          <w:sz w:val="24"/>
          <w:szCs w:val="24"/>
          <w:highlight w:val="none"/>
          <w:lang w:eastAsia="zh-CN"/>
        </w:rPr>
        <w:t>招标单位</w:t>
      </w:r>
      <w:r>
        <w:rPr>
          <w:rFonts w:hint="eastAsia" w:ascii="宋体" w:hAnsi="宋体" w:eastAsia="宋体" w:cs="宋体"/>
          <w:b w:val="0"/>
          <w:bCs w:val="0"/>
          <w:sz w:val="24"/>
          <w:szCs w:val="24"/>
          <w:highlight w:val="none"/>
        </w:rPr>
        <w:t>规定时间，及时送达</w:t>
      </w:r>
      <w:r>
        <w:rPr>
          <w:rFonts w:hint="eastAsia" w:ascii="宋体" w:hAnsi="宋体" w:eastAsia="宋体" w:cs="宋体"/>
          <w:b w:val="0"/>
          <w:bCs w:val="0"/>
          <w:sz w:val="24"/>
          <w:szCs w:val="24"/>
          <w:highlight w:val="none"/>
          <w:lang w:val="en-US" w:eastAsia="zh-CN"/>
        </w:rPr>
        <w:t>洗涤用品</w:t>
      </w:r>
      <w:r>
        <w:rPr>
          <w:rFonts w:hint="eastAsia" w:ascii="宋体" w:hAnsi="宋体" w:eastAsia="宋体" w:cs="宋体"/>
          <w:b w:val="0"/>
          <w:bCs w:val="0"/>
          <w:sz w:val="24"/>
          <w:szCs w:val="24"/>
          <w:highlight w:val="none"/>
        </w:rPr>
        <w:t>并负责装卸到位。在洗涤过程中，如遇到停水、停电等故障，</w:t>
      </w:r>
      <w:r>
        <w:rPr>
          <w:rFonts w:hint="eastAsia" w:ascii="宋体" w:hAnsi="宋体" w:eastAsia="宋体" w:cs="宋体"/>
          <w:b w:val="0"/>
          <w:bCs w:val="0"/>
          <w:sz w:val="24"/>
          <w:szCs w:val="24"/>
          <w:highlight w:val="none"/>
          <w:lang w:eastAsia="zh-CN"/>
        </w:rPr>
        <w:t>中标单位</w:t>
      </w:r>
      <w:r>
        <w:rPr>
          <w:rFonts w:hint="eastAsia" w:ascii="宋体" w:hAnsi="宋体" w:eastAsia="宋体" w:cs="宋体"/>
          <w:b w:val="0"/>
          <w:bCs w:val="0"/>
          <w:sz w:val="24"/>
          <w:szCs w:val="24"/>
          <w:highlight w:val="none"/>
        </w:rPr>
        <w:t>自行采取措施解决，</w:t>
      </w:r>
      <w:r>
        <w:rPr>
          <w:rFonts w:hint="eastAsia" w:ascii="宋体" w:hAnsi="宋体" w:eastAsia="宋体" w:cs="宋体"/>
          <w:b w:val="0"/>
          <w:bCs w:val="0"/>
          <w:sz w:val="24"/>
          <w:szCs w:val="24"/>
          <w:highlight w:val="none"/>
          <w:lang w:eastAsia="zh-CN"/>
        </w:rPr>
        <w:t>中标单位</w:t>
      </w:r>
      <w:r>
        <w:rPr>
          <w:rFonts w:hint="eastAsia" w:ascii="宋体" w:hAnsi="宋体" w:eastAsia="宋体" w:cs="宋体"/>
          <w:b w:val="0"/>
          <w:bCs w:val="0"/>
          <w:sz w:val="24"/>
          <w:szCs w:val="24"/>
          <w:highlight w:val="none"/>
        </w:rPr>
        <w:t>如因上述问题给</w:t>
      </w:r>
      <w:r>
        <w:rPr>
          <w:rFonts w:hint="eastAsia" w:ascii="宋体" w:hAnsi="宋体" w:eastAsia="宋体" w:cs="宋体"/>
          <w:b w:val="0"/>
          <w:bCs w:val="0"/>
          <w:sz w:val="24"/>
          <w:szCs w:val="24"/>
          <w:highlight w:val="none"/>
          <w:lang w:eastAsia="zh-CN"/>
        </w:rPr>
        <w:t>招标单位</w:t>
      </w:r>
      <w:r>
        <w:rPr>
          <w:rFonts w:hint="eastAsia" w:ascii="宋体" w:hAnsi="宋体" w:eastAsia="宋体" w:cs="宋体"/>
          <w:b w:val="0"/>
          <w:bCs w:val="0"/>
          <w:sz w:val="24"/>
          <w:szCs w:val="24"/>
          <w:highlight w:val="none"/>
        </w:rPr>
        <w:t>造成的损失由</w:t>
      </w:r>
      <w:r>
        <w:rPr>
          <w:rFonts w:hint="eastAsia" w:ascii="宋体" w:hAnsi="宋体" w:eastAsia="宋体" w:cs="宋体"/>
          <w:b w:val="0"/>
          <w:bCs w:val="0"/>
          <w:sz w:val="24"/>
          <w:szCs w:val="24"/>
          <w:highlight w:val="none"/>
          <w:lang w:eastAsia="zh-CN"/>
        </w:rPr>
        <w:t>中标单位</w:t>
      </w:r>
      <w:r>
        <w:rPr>
          <w:rFonts w:hint="eastAsia" w:ascii="宋体" w:hAnsi="宋体" w:eastAsia="宋体" w:cs="宋体"/>
          <w:b w:val="0"/>
          <w:bCs w:val="0"/>
          <w:sz w:val="24"/>
          <w:szCs w:val="24"/>
          <w:highlight w:val="none"/>
        </w:rPr>
        <w:t>全部承担。</w:t>
      </w:r>
    </w:p>
    <w:p>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8.</w:t>
      </w:r>
      <w:r>
        <w:rPr>
          <w:rFonts w:hint="eastAsia" w:ascii="宋体" w:hAnsi="宋体" w:eastAsia="宋体" w:cs="宋体"/>
          <w:b w:val="0"/>
          <w:bCs w:val="0"/>
          <w:sz w:val="24"/>
          <w:szCs w:val="24"/>
          <w:highlight w:val="none"/>
          <w:lang w:eastAsia="zh-CN"/>
        </w:rPr>
        <w:t>中标单位</w:t>
      </w:r>
      <w:r>
        <w:rPr>
          <w:rFonts w:hint="eastAsia" w:ascii="宋体" w:hAnsi="宋体" w:eastAsia="宋体" w:cs="宋体"/>
          <w:b w:val="0"/>
          <w:bCs w:val="0"/>
          <w:sz w:val="24"/>
          <w:szCs w:val="24"/>
          <w:highlight w:val="none"/>
        </w:rPr>
        <w:t>保证物品的洗涤质量，洗涤时必须按</w:t>
      </w:r>
      <w:r>
        <w:rPr>
          <w:rFonts w:hint="eastAsia" w:ascii="宋体" w:hAnsi="宋体" w:eastAsia="宋体" w:cs="宋体"/>
          <w:b w:val="0"/>
          <w:bCs w:val="0"/>
          <w:sz w:val="24"/>
          <w:szCs w:val="24"/>
          <w:highlight w:val="none"/>
          <w:lang w:val="en-US" w:eastAsia="zh-CN"/>
        </w:rPr>
        <w:t>医用织物</w:t>
      </w:r>
      <w:r>
        <w:rPr>
          <w:rFonts w:hint="eastAsia" w:ascii="宋体" w:hAnsi="宋体" w:eastAsia="宋体" w:cs="宋体"/>
          <w:b w:val="0"/>
          <w:bCs w:val="0"/>
          <w:sz w:val="24"/>
          <w:szCs w:val="24"/>
          <w:highlight w:val="none"/>
        </w:rPr>
        <w:t>的种类颜色进行单洗、单放，对洗涤的物品必须做到洗净、熨平、分类、叠齐，达到</w:t>
      </w:r>
      <w:r>
        <w:rPr>
          <w:rFonts w:hint="eastAsia" w:ascii="宋体" w:hAnsi="宋体" w:eastAsia="宋体" w:cs="宋体"/>
          <w:b w:val="0"/>
          <w:bCs w:val="0"/>
          <w:sz w:val="24"/>
          <w:szCs w:val="24"/>
          <w:highlight w:val="none"/>
          <w:lang w:eastAsia="zh-CN"/>
        </w:rPr>
        <w:t>招标单位</w:t>
      </w:r>
      <w:r>
        <w:rPr>
          <w:rFonts w:hint="eastAsia" w:ascii="宋体" w:hAnsi="宋体" w:eastAsia="宋体" w:cs="宋体"/>
          <w:b w:val="0"/>
          <w:bCs w:val="0"/>
          <w:sz w:val="24"/>
          <w:szCs w:val="24"/>
          <w:highlight w:val="none"/>
        </w:rPr>
        <w:t>要求。</w:t>
      </w:r>
    </w:p>
    <w:p>
      <w:pPr>
        <w:spacing w:line="360" w:lineRule="auto"/>
        <w:ind w:left="0" w:leftChars="0" w:firstLine="0" w:firstLineChars="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9.</w:t>
      </w:r>
      <w:r>
        <w:rPr>
          <w:rFonts w:hint="eastAsia" w:ascii="宋体" w:hAnsi="宋体" w:eastAsia="宋体" w:cs="宋体"/>
          <w:b w:val="0"/>
          <w:bCs w:val="0"/>
          <w:sz w:val="24"/>
          <w:szCs w:val="24"/>
          <w:highlight w:val="none"/>
          <w:lang w:eastAsia="zh-CN"/>
        </w:rPr>
        <w:t>中标单位</w:t>
      </w:r>
      <w:r>
        <w:rPr>
          <w:rFonts w:hint="eastAsia" w:ascii="宋体" w:hAnsi="宋体" w:eastAsia="宋体" w:cs="宋体"/>
          <w:b w:val="0"/>
          <w:bCs w:val="0"/>
          <w:sz w:val="24"/>
          <w:szCs w:val="24"/>
          <w:highlight w:val="none"/>
        </w:rPr>
        <w:t>洗涤后送回的物品必须一次合格，如有不合格的洗涤物品，</w:t>
      </w:r>
      <w:r>
        <w:rPr>
          <w:rFonts w:hint="eastAsia" w:ascii="宋体" w:hAnsi="宋体" w:eastAsia="宋体" w:cs="宋体"/>
          <w:b w:val="0"/>
          <w:bCs w:val="0"/>
          <w:sz w:val="24"/>
          <w:szCs w:val="24"/>
          <w:highlight w:val="none"/>
          <w:lang w:eastAsia="zh-CN"/>
        </w:rPr>
        <w:t>中标单位</w:t>
      </w:r>
      <w:r>
        <w:rPr>
          <w:rFonts w:hint="eastAsia" w:ascii="宋体" w:hAnsi="宋体" w:eastAsia="宋体" w:cs="宋体"/>
          <w:b w:val="0"/>
          <w:bCs w:val="0"/>
          <w:sz w:val="24"/>
          <w:szCs w:val="24"/>
          <w:highlight w:val="none"/>
        </w:rPr>
        <w:t>必须免费重洗，如因此影响</w:t>
      </w:r>
      <w:r>
        <w:rPr>
          <w:rFonts w:hint="eastAsia" w:ascii="宋体" w:hAnsi="宋体" w:eastAsia="宋体" w:cs="宋体"/>
          <w:b w:val="0"/>
          <w:bCs w:val="0"/>
          <w:sz w:val="24"/>
          <w:szCs w:val="24"/>
          <w:highlight w:val="none"/>
          <w:lang w:eastAsia="zh-CN"/>
        </w:rPr>
        <w:t>招标单位</w:t>
      </w:r>
      <w:r>
        <w:rPr>
          <w:rFonts w:hint="eastAsia" w:ascii="宋体" w:hAnsi="宋体" w:eastAsia="宋体" w:cs="宋体"/>
          <w:b w:val="0"/>
          <w:bCs w:val="0"/>
          <w:sz w:val="24"/>
          <w:szCs w:val="24"/>
          <w:highlight w:val="none"/>
        </w:rPr>
        <w:t>工作造成损失，由</w:t>
      </w:r>
      <w:r>
        <w:rPr>
          <w:rFonts w:hint="eastAsia" w:ascii="宋体" w:hAnsi="宋体" w:eastAsia="宋体" w:cs="宋体"/>
          <w:b w:val="0"/>
          <w:bCs w:val="0"/>
          <w:sz w:val="24"/>
          <w:szCs w:val="24"/>
          <w:highlight w:val="none"/>
          <w:lang w:eastAsia="zh-CN"/>
        </w:rPr>
        <w:t>中标单位</w:t>
      </w:r>
      <w:r>
        <w:rPr>
          <w:rFonts w:hint="eastAsia" w:ascii="宋体" w:hAnsi="宋体" w:eastAsia="宋体" w:cs="宋体"/>
          <w:b w:val="0"/>
          <w:bCs w:val="0"/>
          <w:sz w:val="24"/>
          <w:szCs w:val="24"/>
          <w:highlight w:val="none"/>
        </w:rPr>
        <w:t>承担赔偿责任。院方抽检未达标的布草需返工处理，不予计价。</w:t>
      </w:r>
    </w:p>
    <w:p>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10.</w:t>
      </w:r>
      <w:r>
        <w:rPr>
          <w:rFonts w:hint="eastAsia" w:ascii="宋体" w:hAnsi="宋体" w:eastAsia="宋体" w:cs="宋体"/>
          <w:b w:val="0"/>
          <w:bCs w:val="0"/>
          <w:sz w:val="24"/>
          <w:szCs w:val="24"/>
          <w:highlight w:val="none"/>
          <w:lang w:eastAsia="zh-CN"/>
        </w:rPr>
        <w:t>中标单位</w:t>
      </w:r>
      <w:r>
        <w:rPr>
          <w:rFonts w:hint="eastAsia" w:ascii="宋体" w:hAnsi="宋体" w:eastAsia="宋体" w:cs="宋体"/>
          <w:b w:val="0"/>
          <w:bCs w:val="0"/>
          <w:sz w:val="24"/>
          <w:szCs w:val="24"/>
          <w:highlight w:val="none"/>
        </w:rPr>
        <w:t>对洗涤后的物品，如发现开线、裂口、少扣、少带等现象应免费给予缝补，由</w:t>
      </w:r>
      <w:r>
        <w:rPr>
          <w:rFonts w:hint="eastAsia" w:ascii="宋体" w:hAnsi="宋体" w:eastAsia="宋体" w:cs="宋体"/>
          <w:b w:val="0"/>
          <w:bCs w:val="0"/>
          <w:sz w:val="24"/>
          <w:szCs w:val="24"/>
          <w:highlight w:val="none"/>
          <w:lang w:val="en-US" w:eastAsia="zh-CN"/>
        </w:rPr>
        <w:t>招</w:t>
      </w:r>
      <w:r>
        <w:rPr>
          <w:rFonts w:hint="eastAsia" w:ascii="宋体" w:hAnsi="宋体" w:eastAsia="宋体" w:cs="宋体"/>
          <w:b w:val="0"/>
          <w:bCs w:val="0"/>
          <w:sz w:val="24"/>
          <w:szCs w:val="24"/>
          <w:highlight w:val="none"/>
          <w:lang w:eastAsia="zh-CN"/>
        </w:rPr>
        <w:t>标单位</w:t>
      </w:r>
      <w:r>
        <w:rPr>
          <w:rFonts w:hint="eastAsia" w:ascii="宋体" w:hAnsi="宋体" w:eastAsia="宋体" w:cs="宋体"/>
          <w:b w:val="0"/>
          <w:bCs w:val="0"/>
          <w:sz w:val="24"/>
          <w:szCs w:val="24"/>
          <w:highlight w:val="none"/>
        </w:rPr>
        <w:t>负责缝补布料。保证洗涤后的物品完整无损，做到优质服务。如有串色、丢失、损坏由</w:t>
      </w:r>
      <w:r>
        <w:rPr>
          <w:rFonts w:hint="eastAsia" w:ascii="宋体" w:hAnsi="宋体" w:eastAsia="宋体" w:cs="宋体"/>
          <w:b w:val="0"/>
          <w:bCs w:val="0"/>
          <w:sz w:val="24"/>
          <w:szCs w:val="24"/>
          <w:highlight w:val="none"/>
          <w:lang w:eastAsia="zh-CN"/>
        </w:rPr>
        <w:t>中标单位</w:t>
      </w:r>
      <w:r>
        <w:rPr>
          <w:rFonts w:hint="eastAsia" w:ascii="宋体" w:hAnsi="宋体" w:eastAsia="宋体" w:cs="宋体"/>
          <w:b w:val="0"/>
          <w:bCs w:val="0"/>
          <w:sz w:val="24"/>
          <w:szCs w:val="24"/>
          <w:highlight w:val="none"/>
        </w:rPr>
        <w:t>按折旧后的价格进行赔偿。</w:t>
      </w:r>
    </w:p>
    <w:p>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11.</w:t>
      </w:r>
      <w:r>
        <w:rPr>
          <w:rFonts w:hint="eastAsia" w:ascii="宋体" w:hAnsi="宋体" w:eastAsia="宋体" w:cs="宋体"/>
          <w:b w:val="0"/>
          <w:bCs w:val="0"/>
          <w:sz w:val="24"/>
          <w:szCs w:val="24"/>
          <w:highlight w:val="none"/>
          <w:lang w:eastAsia="zh-CN"/>
        </w:rPr>
        <w:t>中标单位</w:t>
      </w:r>
      <w:r>
        <w:rPr>
          <w:rFonts w:hint="eastAsia" w:ascii="宋体" w:hAnsi="宋体" w:eastAsia="宋体" w:cs="宋体"/>
          <w:b w:val="0"/>
          <w:bCs w:val="0"/>
          <w:sz w:val="24"/>
          <w:szCs w:val="24"/>
          <w:highlight w:val="none"/>
        </w:rPr>
        <w:t>在洗涤过程中必须对有色和无色、</w:t>
      </w:r>
      <w:r>
        <w:rPr>
          <w:rFonts w:hint="eastAsia" w:ascii="宋体" w:hAnsi="宋体" w:eastAsia="宋体" w:cs="宋体"/>
          <w:b w:val="0"/>
          <w:bCs w:val="0"/>
          <w:sz w:val="24"/>
          <w:szCs w:val="24"/>
          <w:highlight w:val="none"/>
          <w:lang w:val="en-US" w:eastAsia="zh-CN"/>
        </w:rPr>
        <w:t>感染织物</w:t>
      </w:r>
      <w:r>
        <w:rPr>
          <w:rFonts w:hint="eastAsia" w:ascii="宋体" w:hAnsi="宋体" w:eastAsia="宋体" w:cs="宋体"/>
          <w:b w:val="0"/>
          <w:bCs w:val="0"/>
          <w:sz w:val="24"/>
          <w:szCs w:val="24"/>
          <w:highlight w:val="none"/>
        </w:rPr>
        <w:t>和</w:t>
      </w:r>
      <w:r>
        <w:rPr>
          <w:rFonts w:hint="eastAsia" w:ascii="宋体" w:hAnsi="宋体" w:eastAsia="宋体" w:cs="宋体"/>
          <w:b w:val="0"/>
          <w:bCs w:val="0"/>
          <w:sz w:val="24"/>
          <w:szCs w:val="24"/>
          <w:highlight w:val="none"/>
          <w:lang w:val="en-US" w:eastAsia="zh-CN"/>
        </w:rPr>
        <w:t>脏污织物</w:t>
      </w:r>
      <w:r>
        <w:rPr>
          <w:rFonts w:hint="eastAsia" w:ascii="宋体" w:hAnsi="宋体" w:eastAsia="宋体" w:cs="宋体"/>
          <w:b w:val="0"/>
          <w:bCs w:val="0"/>
          <w:sz w:val="24"/>
          <w:szCs w:val="24"/>
          <w:highlight w:val="none"/>
        </w:rPr>
        <w:t>、病患和医务人员的物品分开洗涤。对</w:t>
      </w:r>
      <w:r>
        <w:rPr>
          <w:rFonts w:hint="eastAsia" w:ascii="宋体" w:hAnsi="宋体" w:eastAsia="宋体" w:cs="宋体"/>
          <w:b w:val="0"/>
          <w:bCs w:val="0"/>
          <w:sz w:val="24"/>
          <w:szCs w:val="24"/>
          <w:highlight w:val="none"/>
          <w:lang w:val="en-US" w:eastAsia="zh-CN"/>
        </w:rPr>
        <w:t>感染织物</w:t>
      </w:r>
      <w:r>
        <w:rPr>
          <w:rFonts w:hint="eastAsia" w:ascii="宋体" w:hAnsi="宋体" w:eastAsia="宋体" w:cs="宋体"/>
          <w:b w:val="0"/>
          <w:bCs w:val="0"/>
          <w:sz w:val="24"/>
          <w:szCs w:val="24"/>
          <w:highlight w:val="none"/>
        </w:rPr>
        <w:t>要严格遵守操作程序，并采取合理的手段和措施进行洗涤，避免交叉感染。</w:t>
      </w:r>
    </w:p>
    <w:p>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12.</w:t>
      </w:r>
      <w:r>
        <w:rPr>
          <w:rFonts w:hint="eastAsia" w:ascii="宋体" w:hAnsi="宋体" w:eastAsia="宋体" w:cs="宋体"/>
          <w:b w:val="0"/>
          <w:bCs w:val="0"/>
          <w:sz w:val="24"/>
          <w:szCs w:val="24"/>
          <w:highlight w:val="none"/>
        </w:rPr>
        <w:t>在验收工作中，</w:t>
      </w:r>
      <w:r>
        <w:rPr>
          <w:rFonts w:hint="eastAsia" w:ascii="宋体" w:hAnsi="宋体" w:eastAsia="宋体" w:cs="宋体"/>
          <w:b w:val="0"/>
          <w:bCs w:val="0"/>
          <w:sz w:val="24"/>
          <w:szCs w:val="24"/>
          <w:highlight w:val="none"/>
          <w:lang w:eastAsia="zh-CN"/>
        </w:rPr>
        <w:t>招标单位</w:t>
      </w:r>
      <w:r>
        <w:rPr>
          <w:rFonts w:hint="eastAsia" w:ascii="宋体" w:hAnsi="宋体" w:eastAsia="宋体" w:cs="宋体"/>
          <w:b w:val="0"/>
          <w:bCs w:val="0"/>
          <w:sz w:val="24"/>
          <w:szCs w:val="24"/>
          <w:highlight w:val="none"/>
        </w:rPr>
        <w:t>对洗涤物品的干、湿、潮有争议时，由</w:t>
      </w:r>
      <w:r>
        <w:rPr>
          <w:rFonts w:hint="eastAsia" w:ascii="宋体" w:hAnsi="宋体" w:eastAsia="宋体" w:cs="宋体"/>
          <w:b w:val="0"/>
          <w:bCs w:val="0"/>
          <w:sz w:val="24"/>
          <w:szCs w:val="24"/>
          <w:highlight w:val="none"/>
          <w:lang w:eastAsia="zh-CN"/>
        </w:rPr>
        <w:t>招标单位</w:t>
      </w:r>
      <w:r>
        <w:rPr>
          <w:rFonts w:hint="eastAsia" w:ascii="宋体" w:hAnsi="宋体" w:eastAsia="宋体" w:cs="宋体"/>
          <w:b w:val="0"/>
          <w:bCs w:val="0"/>
          <w:sz w:val="24"/>
          <w:szCs w:val="24"/>
          <w:highlight w:val="none"/>
        </w:rPr>
        <w:t>单位办公室专人鉴定后确定，确定后潮湿的物品返回</w:t>
      </w:r>
      <w:r>
        <w:rPr>
          <w:rFonts w:hint="eastAsia" w:ascii="宋体" w:hAnsi="宋体" w:eastAsia="宋体" w:cs="宋体"/>
          <w:b w:val="0"/>
          <w:bCs w:val="0"/>
          <w:sz w:val="24"/>
          <w:szCs w:val="24"/>
          <w:highlight w:val="none"/>
          <w:lang w:eastAsia="zh-CN"/>
        </w:rPr>
        <w:t>中标单位</w:t>
      </w:r>
      <w:r>
        <w:rPr>
          <w:rFonts w:hint="eastAsia" w:ascii="宋体" w:hAnsi="宋体" w:eastAsia="宋体" w:cs="宋体"/>
          <w:b w:val="0"/>
          <w:bCs w:val="0"/>
          <w:sz w:val="24"/>
          <w:szCs w:val="24"/>
          <w:highlight w:val="none"/>
        </w:rPr>
        <w:t>厂家重新处理，如因此影响</w:t>
      </w:r>
      <w:r>
        <w:rPr>
          <w:rFonts w:hint="eastAsia" w:ascii="宋体" w:hAnsi="宋体" w:eastAsia="宋体" w:cs="宋体"/>
          <w:b w:val="0"/>
          <w:bCs w:val="0"/>
          <w:sz w:val="24"/>
          <w:szCs w:val="24"/>
          <w:highlight w:val="none"/>
          <w:lang w:eastAsia="zh-CN"/>
        </w:rPr>
        <w:t>招标单位</w:t>
      </w:r>
      <w:r>
        <w:rPr>
          <w:rFonts w:hint="eastAsia" w:ascii="宋体" w:hAnsi="宋体" w:eastAsia="宋体" w:cs="宋体"/>
          <w:b w:val="0"/>
          <w:bCs w:val="0"/>
          <w:sz w:val="24"/>
          <w:szCs w:val="24"/>
          <w:highlight w:val="none"/>
        </w:rPr>
        <w:t>正常工作，后果由</w:t>
      </w:r>
      <w:r>
        <w:rPr>
          <w:rFonts w:hint="eastAsia" w:ascii="宋体" w:hAnsi="宋体" w:eastAsia="宋体" w:cs="宋体"/>
          <w:b w:val="0"/>
          <w:bCs w:val="0"/>
          <w:sz w:val="24"/>
          <w:szCs w:val="24"/>
          <w:highlight w:val="none"/>
          <w:lang w:eastAsia="zh-CN"/>
        </w:rPr>
        <w:t>中标单位</w:t>
      </w:r>
      <w:r>
        <w:rPr>
          <w:rFonts w:hint="eastAsia" w:ascii="宋体" w:hAnsi="宋体" w:eastAsia="宋体" w:cs="宋体"/>
          <w:b w:val="0"/>
          <w:bCs w:val="0"/>
          <w:sz w:val="24"/>
          <w:szCs w:val="24"/>
          <w:highlight w:val="none"/>
        </w:rPr>
        <w:t>负责承担。</w:t>
      </w:r>
    </w:p>
    <w:p>
      <w:pPr>
        <w:pStyle w:val="8"/>
        <w:keepNext w:val="0"/>
        <w:keepLines w:val="0"/>
        <w:widowControl w:val="0"/>
        <w:shd w:val="clear" w:color="auto" w:fill="auto"/>
        <w:bidi w:val="0"/>
        <w:spacing w:before="0" w:after="0" w:line="360" w:lineRule="auto"/>
        <w:ind w:left="0" w:right="0" w:firstLine="0"/>
        <w:jc w:val="both"/>
        <w:rPr>
          <w:rFonts w:hint="eastAsia" w:ascii="宋体" w:hAnsi="宋体" w:eastAsia="宋体" w:cs="宋体"/>
          <w:b w:val="0"/>
          <w:bCs w:val="0"/>
          <w:kern w:val="2"/>
          <w:sz w:val="24"/>
          <w:szCs w:val="24"/>
          <w:highlight w:val="none"/>
          <w:u w:val="none"/>
          <w:shd w:val="clear" w:color="auto" w:fill="auto"/>
          <w:lang w:val="en-US" w:eastAsia="zh-CN" w:bidi="ar-SA"/>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kern w:val="2"/>
          <w:sz w:val="24"/>
          <w:szCs w:val="24"/>
          <w:highlight w:val="none"/>
          <w:u w:val="none"/>
          <w:shd w:val="clear" w:color="auto" w:fill="auto"/>
          <w:lang w:val="en-US" w:eastAsia="zh-CN" w:bidi="ar-SA"/>
        </w:rPr>
        <w:t>3.双方共同确定洗涤物品的取送、交接时间和地点，双方均需指派固定人员办理交接手续。有招标单位负责制定并印制标准的交接清单（清单中应注有：物品种类、数量、重量、要求完成日期、送取时间及质量评定等），清单一式二份，双方各执一份，并经招标单位验收签字后作为结算依据。取送及物流由中标单位负责，并承担相关费用。日常质检记录、交接记录应具有可追溯性，记录的保存期应</w:t>
      </w:r>
      <w:r>
        <w:rPr>
          <w:rFonts w:hint="default" w:ascii="宋体" w:hAnsi="宋体" w:eastAsia="宋体" w:cs="宋体"/>
          <w:b w:val="0"/>
          <w:bCs w:val="0"/>
          <w:kern w:val="2"/>
          <w:sz w:val="24"/>
          <w:szCs w:val="24"/>
          <w:highlight w:val="none"/>
          <w:u w:val="none"/>
          <w:shd w:val="clear" w:color="auto" w:fill="auto"/>
          <w:lang w:val="en-US" w:eastAsia="zh-CN" w:bidi="ar-SA"/>
        </w:rPr>
        <w:t>≥</w:t>
      </w:r>
      <w:r>
        <w:rPr>
          <w:rFonts w:hint="eastAsia" w:ascii="宋体" w:hAnsi="宋体" w:eastAsia="宋体" w:cs="宋体"/>
          <w:b w:val="0"/>
          <w:bCs w:val="0"/>
          <w:kern w:val="2"/>
          <w:sz w:val="24"/>
          <w:szCs w:val="24"/>
          <w:highlight w:val="none"/>
          <w:u w:val="none"/>
          <w:shd w:val="clear" w:color="auto" w:fill="auto"/>
          <w:lang w:val="en-US" w:eastAsia="zh-CN" w:bidi="ar-SA"/>
        </w:rPr>
        <w:t>6个月。</w:t>
      </w:r>
    </w:p>
    <w:p>
      <w:pPr>
        <w:pStyle w:val="8"/>
        <w:keepNext w:val="0"/>
        <w:keepLines w:val="0"/>
        <w:widowControl w:val="0"/>
        <w:numPr>
          <w:ilvl w:val="0"/>
          <w:numId w:val="1"/>
        </w:numPr>
        <w:shd w:val="clear" w:color="auto" w:fill="auto"/>
        <w:bidi w:val="0"/>
        <w:spacing w:before="0" w:after="0" w:line="360" w:lineRule="auto"/>
        <w:ind w:left="0" w:right="0" w:firstLine="0"/>
        <w:jc w:val="both"/>
        <w:rPr>
          <w:rFonts w:hint="eastAsia" w:ascii="宋体" w:hAnsi="宋体" w:eastAsia="宋体" w:cs="宋体"/>
          <w:b w:val="0"/>
          <w:bCs w:val="0"/>
          <w:kern w:val="2"/>
          <w:sz w:val="24"/>
          <w:szCs w:val="24"/>
          <w:highlight w:val="none"/>
          <w:u w:val="none"/>
          <w:shd w:val="clear" w:color="auto" w:fill="auto"/>
          <w:lang w:val="en-US" w:eastAsia="zh-CN" w:bidi="ar-SA"/>
        </w:rPr>
      </w:pPr>
      <w:r>
        <w:rPr>
          <w:rFonts w:hint="eastAsia" w:ascii="宋体" w:hAnsi="宋体" w:eastAsia="宋体" w:cs="宋体"/>
          <w:b w:val="0"/>
          <w:bCs w:val="0"/>
          <w:kern w:val="2"/>
          <w:sz w:val="24"/>
          <w:szCs w:val="24"/>
          <w:highlight w:val="none"/>
          <w:u w:val="none"/>
          <w:shd w:val="clear" w:color="auto" w:fill="auto"/>
          <w:lang w:val="en-US" w:eastAsia="zh-CN" w:bidi="ar-SA"/>
        </w:rPr>
        <w:drawing>
          <wp:anchor distT="0" distB="0" distL="114300" distR="114300" simplePos="0" relativeHeight="251660288" behindDoc="0" locked="0" layoutInCell="1" allowOverlap="1">
            <wp:simplePos x="0" y="0"/>
            <wp:positionH relativeFrom="column">
              <wp:posOffset>1078865</wp:posOffset>
            </wp:positionH>
            <wp:positionV relativeFrom="paragraph">
              <wp:posOffset>438785</wp:posOffset>
            </wp:positionV>
            <wp:extent cx="3592830" cy="2127250"/>
            <wp:effectExtent l="0" t="0" r="7620" b="635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592830" cy="2127250"/>
                    </a:xfrm>
                    <a:prstGeom prst="rect">
                      <a:avLst/>
                    </a:prstGeom>
                    <a:noFill/>
                    <a:ln>
                      <a:noFill/>
                    </a:ln>
                  </pic:spPr>
                </pic:pic>
              </a:graphicData>
            </a:graphic>
          </wp:anchor>
        </w:drawing>
      </w:r>
      <w:r>
        <w:rPr>
          <w:rFonts w:hint="eastAsia" w:ascii="宋体" w:hAnsi="宋体" w:eastAsia="宋体" w:cs="宋体"/>
          <w:b w:val="0"/>
          <w:bCs w:val="0"/>
          <w:kern w:val="2"/>
          <w:sz w:val="24"/>
          <w:szCs w:val="24"/>
          <w:highlight w:val="none"/>
          <w:u w:val="none"/>
          <w:shd w:val="clear" w:color="auto" w:fill="auto"/>
          <w:lang w:val="en-US" w:eastAsia="zh-CN" w:bidi="ar-SA"/>
        </w:rPr>
        <w:t>投标单位应按照以下流程进行医用织物洗涤工作。</w:t>
      </w:r>
    </w:p>
    <w:p>
      <w:pPr>
        <w:pStyle w:val="8"/>
        <w:keepNext w:val="0"/>
        <w:keepLines w:val="0"/>
        <w:widowControl w:val="0"/>
        <w:numPr>
          <w:ilvl w:val="0"/>
          <w:numId w:val="0"/>
        </w:numPr>
        <w:shd w:val="clear" w:color="auto" w:fill="auto"/>
        <w:bidi w:val="0"/>
        <w:spacing w:before="0" w:after="0" w:line="318" w:lineRule="exact"/>
        <w:ind w:leftChars="0" w:right="0" w:rightChars="0"/>
        <w:jc w:val="both"/>
        <w:rPr>
          <w:rFonts w:hint="default" w:cs="宋体"/>
          <w:b w:val="0"/>
          <w:bCs w:val="0"/>
          <w:kern w:val="2"/>
          <w:sz w:val="24"/>
          <w:szCs w:val="24"/>
          <w:highlight w:val="none"/>
          <w:u w:val="none"/>
          <w:shd w:val="clear" w:color="auto" w:fill="auto"/>
          <w:lang w:val="en-US" w:eastAsia="zh-CN" w:bidi="ar-SA"/>
        </w:rPr>
      </w:pPr>
    </w:p>
    <w:p>
      <w:pPr>
        <w:pStyle w:val="8"/>
        <w:keepNext w:val="0"/>
        <w:keepLines w:val="0"/>
        <w:widowControl w:val="0"/>
        <w:numPr>
          <w:ilvl w:val="0"/>
          <w:numId w:val="0"/>
        </w:numPr>
        <w:shd w:val="clear" w:color="auto" w:fill="auto"/>
        <w:bidi w:val="0"/>
        <w:spacing w:before="0" w:after="0" w:line="318" w:lineRule="exact"/>
        <w:ind w:leftChars="0" w:right="0" w:rightChars="0"/>
        <w:jc w:val="both"/>
        <w:rPr>
          <w:rFonts w:hint="default" w:cs="宋体"/>
          <w:b w:val="0"/>
          <w:bCs w:val="0"/>
          <w:kern w:val="2"/>
          <w:sz w:val="24"/>
          <w:szCs w:val="24"/>
          <w:highlight w:val="none"/>
          <w:u w:val="none"/>
          <w:shd w:val="clear" w:color="auto" w:fill="auto"/>
          <w:lang w:val="en-US" w:eastAsia="zh-CN" w:bidi="ar-SA"/>
        </w:rPr>
      </w:pPr>
    </w:p>
    <w:p>
      <w:pPr>
        <w:spacing w:line="36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15.</w:t>
      </w:r>
      <w:r>
        <w:rPr>
          <w:rFonts w:hint="eastAsia" w:ascii="宋体" w:hAnsi="宋体" w:eastAsia="宋体" w:cs="宋体"/>
          <w:b w:val="0"/>
          <w:bCs w:val="0"/>
          <w:sz w:val="24"/>
          <w:szCs w:val="24"/>
          <w:highlight w:val="none"/>
        </w:rPr>
        <w:t>洗涤剂、消毒剂及消毒器械应符合国家有关规定。</w:t>
      </w:r>
    </w:p>
    <w:p>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16.</w:t>
      </w:r>
      <w:r>
        <w:rPr>
          <w:rFonts w:hint="eastAsia" w:ascii="宋体" w:hAnsi="宋体" w:eastAsia="宋体" w:cs="宋体"/>
          <w:b w:val="0"/>
          <w:bCs w:val="0"/>
          <w:sz w:val="24"/>
          <w:szCs w:val="24"/>
          <w:highlight w:val="none"/>
        </w:rPr>
        <w:t>洗涤和烘干设备应选用经国家检测合格、有加热功能的专用洗涤和烘干设备。</w:t>
      </w:r>
    </w:p>
    <w:p>
      <w:pPr>
        <w:pStyle w:val="2"/>
        <w:rPr>
          <w:rFonts w:hint="eastAsia" w:eastAsia="宋体"/>
          <w:highlight w:val="none"/>
          <w:lang w:val="en-US" w:eastAsia="zh-CN"/>
        </w:rPr>
      </w:pPr>
      <w:r>
        <w:rPr>
          <w:rFonts w:hint="eastAsia" w:ascii="宋体" w:hAnsi="宋体" w:eastAsia="宋体" w:cs="宋体"/>
          <w:b w:val="0"/>
          <w:bCs w:val="0"/>
          <w:sz w:val="24"/>
          <w:szCs w:val="24"/>
          <w:highlight w:val="none"/>
          <w:lang w:val="en-US" w:eastAsia="zh-CN"/>
        </w:rPr>
        <w:t>17.因招标单位亚泰新区自建洗涤中心正在筹备建设当中，若2年合同期限内招标单位洗涤中心正式投入使用，服务合同自动解除，中标单位须无条件配合。</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1312" behindDoc="1" locked="0" layoutInCell="1" allowOverlap="1">
              <wp:simplePos x="0" y="0"/>
              <wp:positionH relativeFrom="page">
                <wp:posOffset>5902325</wp:posOffset>
              </wp:positionH>
              <wp:positionV relativeFrom="page">
                <wp:posOffset>9424035</wp:posOffset>
              </wp:positionV>
              <wp:extent cx="36830" cy="6985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36830" cy="69850"/>
                      </a:xfrm>
                      <a:prstGeom prst="rect">
                        <a:avLst/>
                      </a:prstGeom>
                      <a:noFill/>
                      <a:ln>
                        <a:noFill/>
                      </a:ln>
                      <a:effectLst/>
                    </wps:spPr>
                    <wps:txbx>
                      <w:txbxContent>
                        <w:p>
                          <w:pPr>
                            <w:pStyle w:val="9"/>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464.75pt;margin-top:742.05pt;height:5.5pt;width:2.9pt;mso-position-horizontal-relative:page;mso-position-vertical-relative:page;mso-wrap-style:none;z-index:-251655168;mso-width-relative:page;mso-height-relative:page;" filled="f" stroked="f" coordsize="21600,21600" o:gfxdata="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Asv2Z2AAAAA0BAAAPAAAAAAAAAAEAIAAAACIAAABk&#10;cnMvZG93bnJldi54bWxQSwECFAAUAAAACACHTuJADhmm2c0BAACZAwAADgAAAAAAAAABACAAAAAn&#10;AQAAZHJzL2Uyb0RvYy54bWxQSwUGAAAAAAYABgBZAQAAZgU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5130800</wp:posOffset>
              </wp:positionH>
              <wp:positionV relativeFrom="page">
                <wp:posOffset>459740</wp:posOffset>
              </wp:positionV>
              <wp:extent cx="984250" cy="11303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984250" cy="113030"/>
                      </a:xfrm>
                      <a:prstGeom prst="rect">
                        <a:avLst/>
                      </a:prstGeom>
                      <a:noFill/>
                      <a:ln>
                        <a:noFill/>
                      </a:ln>
                      <a:effectLst/>
                    </wps:spPr>
                    <wps:txbx>
                      <w:txbxContent>
                        <w:p>
                          <w:pPr>
                            <w:pStyle w:val="9"/>
                            <w:keepNext w:val="0"/>
                            <w:keepLines w:val="0"/>
                            <w:widowControl w:val="0"/>
                            <w:shd w:val="clear" w:color="auto" w:fill="auto"/>
                            <w:bidi w:val="0"/>
                            <w:spacing w:before="0" w:after="0" w:line="240" w:lineRule="auto"/>
                            <w:ind w:left="0" w:right="0" w:firstLine="0"/>
                            <w:jc w:val="left"/>
                          </w:pPr>
                        </w:p>
                      </w:txbxContent>
                    </wps:txbx>
                    <wps:bodyPr wrap="none" lIns="0" tIns="0" rIns="0" bIns="0">
                      <a:spAutoFit/>
                    </wps:bodyPr>
                  </wps:wsp>
                </a:graphicData>
              </a:graphic>
            </wp:anchor>
          </w:drawing>
        </mc:Choice>
        <mc:Fallback>
          <w:pict>
            <v:shape id="_x0000_s1026" o:spid="_x0000_s1026" o:spt="202" type="#_x0000_t202" style="position:absolute;left:0pt;margin-left:404pt;margin-top:36.2pt;height:8.9pt;width:77.5pt;mso-position-horizontal-relative:page;mso-position-vertical-relative:page;mso-wrap-style:none;z-index:-251657216;mso-width-relative:page;mso-height-relative:page;" filled="f" stroked="f" coordsize="21600,21600" o:gfxdata="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gHyJM1QAAAAkBAAAPAAAAAAAAAAEAIAAAACIAAABkcnMv&#10;ZG93bnJldi54bWxQSwECFAAUAAAACACHTuJAGHAyZc0BAACbAwAADgAAAAAAAAABACAAAAAkAQAA&#10;ZHJzL2Uyb0RvYy54bWxQSwUGAAAAAAYABgBZAQAAYwU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B061E"/>
    <w:multiLevelType w:val="singleLevel"/>
    <w:tmpl w:val="F97B061E"/>
    <w:lvl w:ilvl="0" w:tentative="0">
      <w:start w:val="1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715C3"/>
    <w:rsid w:val="1879688C"/>
    <w:rsid w:val="1D2715C3"/>
    <w:rsid w:val="2EA35017"/>
    <w:rsid w:val="502000D2"/>
    <w:rsid w:val="66CF5007"/>
    <w:rsid w:val="70E739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0"/>
    <w:pPr>
      <w:keepNext/>
      <w:keepLines/>
      <w:spacing w:line="240" w:lineRule="exact"/>
      <w:outlineLvl w:val="3"/>
    </w:pPr>
    <w:rPr>
      <w:rFonts w:ascii="Arial" w:hAnsi="Arial" w:eastAsia="仿宋_GB2312"/>
      <w:b/>
      <w:sz w:val="18"/>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楷体_GB2312"/>
      <w:sz w:val="30"/>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3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Body text|1"/>
    <w:basedOn w:val="1"/>
    <w:qFormat/>
    <w:uiPriority w:val="0"/>
    <w:pPr>
      <w:widowControl w:val="0"/>
      <w:shd w:val="clear" w:color="auto" w:fill="auto"/>
      <w:spacing w:line="316" w:lineRule="exact"/>
      <w:ind w:firstLine="400"/>
    </w:pPr>
    <w:rPr>
      <w:rFonts w:ascii="宋体" w:hAnsi="宋体" w:eastAsia="宋体" w:cs="宋体"/>
      <w:sz w:val="18"/>
      <w:szCs w:val="18"/>
      <w:u w:val="none"/>
      <w:shd w:val="clear" w:color="auto" w:fill="auto"/>
      <w:lang w:val="zh-TW" w:eastAsia="zh-TW" w:bidi="zh-TW"/>
    </w:rPr>
  </w:style>
  <w:style w:type="paragraph" w:customStyle="1" w:styleId="9">
    <w:name w:val="Header or footer|2"/>
    <w:basedOn w:val="1"/>
    <w:uiPriority w:val="0"/>
    <w:pPr>
      <w:widowControl w:val="0"/>
      <w:shd w:val="clear" w:color="auto" w:fill="auto"/>
    </w:pPr>
    <w:rPr>
      <w:sz w:val="20"/>
      <w:szCs w:val="20"/>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2022-02-09T01:09:00Z</dcterms:created>
  <dc:creator>绵绵</dc:creator>
  <cp:lastModifiedBy>绵绵</cp:lastModifiedBy>
  <dcterms:modified xsi:type="dcterms:W3CDTF">2022-03-21T00:24:27Z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7CA85A2E5D8E4E5A8394D92401724CD1</vt:lpwstr>
  </property>
</Properties>
</file>