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94" w:type="dxa"/>
        <w:tblInd w:w="0" w:type="dxa"/>
        <w:shd w:val="clear"/>
        <w:tblLayout w:type="autofit"/>
        <w:tblCellMar>
          <w:top w:w="0" w:type="dxa"/>
          <w:left w:w="0" w:type="dxa"/>
          <w:bottom w:w="0" w:type="dxa"/>
          <w:right w:w="0" w:type="dxa"/>
        </w:tblCellMar>
      </w:tblPr>
      <w:tblGrid>
        <w:gridCol w:w="910"/>
        <w:gridCol w:w="2486"/>
        <w:gridCol w:w="6432"/>
        <w:gridCol w:w="4066"/>
      </w:tblGrid>
      <w:tr>
        <w:tblPrEx>
          <w:shd w:val="clear"/>
          <w:tblCellMar>
            <w:top w:w="0" w:type="dxa"/>
            <w:left w:w="0" w:type="dxa"/>
            <w:bottom w:w="0" w:type="dxa"/>
            <w:right w:w="0" w:type="dxa"/>
          </w:tblCellMar>
        </w:tblPrEx>
        <w:trPr>
          <w:trHeight w:val="54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设备名称</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应用方向</w:t>
            </w:r>
            <w:bookmarkStart w:id="0" w:name="_GoBack"/>
            <w:bookmarkEnd w:id="0"/>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基本功能需求</w:t>
            </w:r>
          </w:p>
        </w:tc>
      </w:tr>
      <w:tr>
        <w:tblPrEx>
          <w:tblCellMar>
            <w:top w:w="0" w:type="dxa"/>
            <w:left w:w="0" w:type="dxa"/>
            <w:bottom w:w="0" w:type="dxa"/>
            <w:right w:w="0" w:type="dxa"/>
          </w:tblCellMar>
        </w:tblPrEx>
        <w:trPr>
          <w:trHeight w:val="88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医用冷藏柜（双开门）</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新院区科室血样、试剂及药品的冷藏存储。</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储存室温度稳定，要求2-8℃，温度实时显示，报警系统。</w:t>
            </w:r>
          </w:p>
        </w:tc>
      </w:tr>
      <w:tr>
        <w:tblPrEx>
          <w:tblCellMar>
            <w:top w:w="0" w:type="dxa"/>
            <w:left w:w="0" w:type="dxa"/>
            <w:bottom w:w="0" w:type="dxa"/>
            <w:right w:w="0" w:type="dxa"/>
          </w:tblCellMar>
        </w:tblPrEx>
        <w:trPr>
          <w:trHeight w:val="104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医用冷藏柜（单开门）</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新院区科室血样、试剂及药品的冷藏存储。</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储存室温度稳定，要求2-8℃，温度实时显示，报警系统。</w:t>
            </w:r>
          </w:p>
        </w:tc>
      </w:tr>
      <w:tr>
        <w:tblPrEx>
          <w:tblCellMar>
            <w:top w:w="0" w:type="dxa"/>
            <w:left w:w="0" w:type="dxa"/>
            <w:bottom w:w="0" w:type="dxa"/>
            <w:right w:w="0" w:type="dxa"/>
          </w:tblCellMar>
        </w:tblPrEx>
        <w:trPr>
          <w:trHeight w:val="132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医用冷藏冷冻箱</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新院区科室血样、试剂、药品、质控品的冷藏、冷冻存储。</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申请购置医用冷藏柜，用于血样、试剂、质控品存储。</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储存室温度稳定，要求冷藏区2℃-8℃，冷冻区-20℃--40℃，温度实时显示，报警系统。</w:t>
            </w:r>
          </w:p>
        </w:tc>
      </w:tr>
      <w:tr>
        <w:tblPrEx>
          <w:tblCellMar>
            <w:top w:w="0" w:type="dxa"/>
            <w:left w:w="0" w:type="dxa"/>
            <w:bottom w:w="0" w:type="dxa"/>
            <w:right w:w="0" w:type="dxa"/>
          </w:tblCellMar>
        </w:tblPrEx>
        <w:trPr>
          <w:trHeight w:val="90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-40℃医用低温保存箱</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新院区科室质控品需要-40℃医用低温保存箱进行存储，。</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储存室温度稳定，温度要求-40℃，温度实时显示，报警系统。</w:t>
            </w:r>
          </w:p>
        </w:tc>
      </w:tr>
      <w:tr>
        <w:tblPrEx>
          <w:tblCellMar>
            <w:top w:w="0" w:type="dxa"/>
            <w:left w:w="0" w:type="dxa"/>
            <w:bottom w:w="0" w:type="dxa"/>
            <w:right w:w="0" w:type="dxa"/>
          </w:tblCellMar>
        </w:tblPrEx>
        <w:trPr>
          <w:trHeight w:val="82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-80℃医用低温保存箱</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新院区科室血样、试剂、质控品的冷藏、冷冻存储。</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储存室温度稳定，温度要求-80℃，温度实时显示，报警系统。</w:t>
            </w:r>
          </w:p>
        </w:tc>
      </w:tr>
      <w:tr>
        <w:tblPrEx>
          <w:tblCellMar>
            <w:top w:w="0" w:type="dxa"/>
            <w:left w:w="0" w:type="dxa"/>
            <w:bottom w:w="0" w:type="dxa"/>
            <w:right w:w="0" w:type="dxa"/>
          </w:tblCellMar>
        </w:tblPrEx>
        <w:trPr>
          <w:trHeight w:val="108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放射性核素活度计</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新院区PET/CT、SPECT/CT等放射性药物计量需要通过活度计进行测量。</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可测量131I、99mTc、125I、89Sr、18F、11C等多种放射性核素</w:t>
            </w:r>
          </w:p>
        </w:tc>
      </w:tr>
      <w:tr>
        <w:tblPrEx>
          <w:tblCellMar>
            <w:top w:w="0" w:type="dxa"/>
            <w:left w:w="0" w:type="dxa"/>
            <w:bottom w:w="0" w:type="dxa"/>
            <w:right w:w="0" w:type="dxa"/>
          </w:tblCellMar>
        </w:tblPrEx>
        <w:trPr>
          <w:trHeight w:val="140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放射性废物桶</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新院区核医学科SPECT室、PET室、核素治疗病房等放射性核素操作场所产生的放射性废物需放置于放射性废物桶内暂时存储。</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用于18F、11C、13N、15O、131I、99mTc、125I、89Sr等放射性核素产生的废物的防护。</w:t>
            </w:r>
          </w:p>
        </w:tc>
      </w:tr>
      <w:tr>
        <w:tblPrEx>
          <w:tblCellMar>
            <w:top w:w="0" w:type="dxa"/>
            <w:left w:w="0" w:type="dxa"/>
            <w:bottom w:w="0" w:type="dxa"/>
            <w:right w:w="0" w:type="dxa"/>
          </w:tblCellMar>
        </w:tblPrEx>
        <w:trPr>
          <w:trHeight w:val="144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PETCT胶片图像一体化输出设备</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新院区PET/CT报告的打印、装订、数据的输出、存储</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1.打印机：打印速度快</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2.装订机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3.胶片扫描：图像清晰，还原度高</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4.包装袋</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5.光盘</w:t>
            </w:r>
          </w:p>
        </w:tc>
      </w:tr>
      <w:tr>
        <w:tblPrEx>
          <w:tblCellMar>
            <w:top w:w="0" w:type="dxa"/>
            <w:left w:w="0" w:type="dxa"/>
            <w:bottom w:w="0" w:type="dxa"/>
            <w:right w:w="0"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核医学科病房服务机器人系统</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该设备主要用于新院区核医学隔离病房，辅助医护人员对隔离病房内接受放射性核素治疗的成年患者进行无创血压、脉搏、体温和核辐射剂量等体征数据的测量、记录、传输和存储。可以在医护人员的控制下执行体征测量、环境辐射剂量测量、视频通话、物品发放、知识宣教任务。</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包含：一套用户信息管理系统、1台放射性核素治疗监护机器人和一套任务控制系统，可辅助医护人员远程执行隔离病房中患者无创血压、脉搏、体温和核辐射剂量等体征数据的测量、记录、传输和存储。</w:t>
            </w:r>
          </w:p>
        </w:tc>
      </w:tr>
      <w:tr>
        <w:tblPrEx>
          <w:tblCellMar>
            <w:top w:w="0" w:type="dxa"/>
            <w:left w:w="0" w:type="dxa"/>
            <w:bottom w:w="0" w:type="dxa"/>
            <w:right w:w="0" w:type="dxa"/>
          </w:tblCellMar>
        </w:tblPrEx>
        <w:trPr>
          <w:trHeight w:val="122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X、</w:t>
            </w:r>
            <w:r>
              <w:rPr>
                <w:rStyle w:val="5"/>
                <w:sz w:val="24"/>
                <w:szCs w:val="24"/>
                <w:bdr w:val="none" w:color="auto" w:sz="0" w:space="0"/>
                <w:lang w:val="en-US" w:eastAsia="zh-CN" w:bidi="ar"/>
              </w:rPr>
              <w:t>γ</w:t>
            </w:r>
            <w:r>
              <w:rPr>
                <w:rStyle w:val="6"/>
                <w:sz w:val="24"/>
                <w:szCs w:val="24"/>
                <w:bdr w:val="none" w:color="auto" w:sz="0" w:space="0"/>
                <w:lang w:val="en-US" w:eastAsia="zh-CN" w:bidi="ar"/>
              </w:rPr>
              <w:t>辐射个人剂量当量监测仪</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新院区核医学科工作人员在进入放射性工作场所或进行放射性操作时，需携带个人剂量当量监测仪。</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检测</w:t>
            </w:r>
            <w:r>
              <w:rPr>
                <w:rStyle w:val="7"/>
                <w:sz w:val="24"/>
                <w:szCs w:val="24"/>
                <w:bdr w:val="none" w:color="auto" w:sz="0" w:space="0"/>
                <w:lang w:val="en-US" w:eastAsia="zh-CN" w:bidi="ar"/>
              </w:rPr>
              <w:t>β</w:t>
            </w:r>
            <w:r>
              <w:rPr>
                <w:rStyle w:val="8"/>
                <w:sz w:val="24"/>
                <w:szCs w:val="24"/>
                <w:bdr w:val="none" w:color="auto" w:sz="0" w:space="0"/>
                <w:lang w:val="en-US" w:eastAsia="zh-CN" w:bidi="ar"/>
              </w:rPr>
              <w:t>射线、X射线和</w:t>
            </w:r>
            <w:r>
              <w:rPr>
                <w:rStyle w:val="7"/>
                <w:sz w:val="24"/>
                <w:szCs w:val="24"/>
                <w:bdr w:val="none" w:color="auto" w:sz="0" w:space="0"/>
                <w:lang w:val="en-US" w:eastAsia="zh-CN" w:bidi="ar"/>
              </w:rPr>
              <w:t>γ</w:t>
            </w:r>
            <w:r>
              <w:rPr>
                <w:rStyle w:val="8"/>
                <w:sz w:val="24"/>
                <w:szCs w:val="24"/>
                <w:bdr w:val="none" w:color="auto" w:sz="0" w:space="0"/>
                <w:lang w:val="en-US" w:eastAsia="zh-CN" w:bidi="ar"/>
              </w:rPr>
              <w:t>射线等</w:t>
            </w:r>
          </w:p>
        </w:tc>
      </w:tr>
      <w:tr>
        <w:tblPrEx>
          <w:tblCellMar>
            <w:top w:w="0" w:type="dxa"/>
            <w:left w:w="0" w:type="dxa"/>
            <w:bottom w:w="0" w:type="dxa"/>
            <w:right w:w="0" w:type="dxa"/>
          </w:tblCellMar>
        </w:tblPrEx>
        <w:trPr>
          <w:trHeight w:val="150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敷贴器防护箱</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新院区核医学科90Sr-90Y敷贴器需放置于敷贴器防护箱内。</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锶-90敷贴器的防护，具有防水、防火、防盗功能，满足辐射要求。</w:t>
            </w:r>
          </w:p>
        </w:tc>
      </w:tr>
      <w:tr>
        <w:tblPrEx>
          <w:tblCellMar>
            <w:top w:w="0" w:type="dxa"/>
            <w:left w:w="0" w:type="dxa"/>
            <w:bottom w:w="0" w:type="dxa"/>
            <w:right w:w="0" w:type="dxa"/>
          </w:tblCellMar>
        </w:tblPrEx>
        <w:trPr>
          <w:trHeight w:val="246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125I粒子储源箱</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将标记有放射性核素125I的物质，制成微型封闭粒子源，以一定的方式直接植入到肿瘤、受浸润或沿淋巴途径扩散的靶组织中，通过粒子持续释放低剂量的</w:t>
            </w:r>
            <w:r>
              <w:rPr>
                <w:rStyle w:val="7"/>
                <w:sz w:val="24"/>
                <w:szCs w:val="24"/>
                <w:bdr w:val="none" w:color="auto" w:sz="0" w:space="0"/>
                <w:lang w:val="en-US" w:eastAsia="zh-CN" w:bidi="ar"/>
              </w:rPr>
              <w:t>γ</w:t>
            </w:r>
            <w:r>
              <w:rPr>
                <w:rStyle w:val="8"/>
                <w:sz w:val="24"/>
                <w:szCs w:val="24"/>
                <w:bdr w:val="none" w:color="auto" w:sz="0" w:space="0"/>
                <w:lang w:val="en-US" w:eastAsia="zh-CN" w:bidi="ar"/>
              </w:rPr>
              <w:t>射线，病变部位受到射线照射，从而得到治疗。</w:t>
            </w:r>
            <w:r>
              <w:rPr>
                <w:rStyle w:val="8"/>
                <w:sz w:val="24"/>
                <w:szCs w:val="24"/>
                <w:bdr w:val="none" w:color="auto" w:sz="0" w:space="0"/>
                <w:lang w:val="en-US" w:eastAsia="zh-CN" w:bidi="ar"/>
              </w:rPr>
              <w:br w:type="textWrapping"/>
            </w:r>
            <w:r>
              <w:rPr>
                <w:rStyle w:val="8"/>
                <w:sz w:val="24"/>
                <w:szCs w:val="24"/>
                <w:bdr w:val="none" w:color="auto" w:sz="0" w:space="0"/>
                <w:lang w:val="en-US" w:eastAsia="zh-CN" w:bidi="ar"/>
              </w:rPr>
              <w:t>125I粒子因可产生</w:t>
            </w:r>
            <w:r>
              <w:rPr>
                <w:rStyle w:val="7"/>
                <w:sz w:val="24"/>
                <w:szCs w:val="24"/>
                <w:bdr w:val="none" w:color="auto" w:sz="0" w:space="0"/>
                <w:lang w:val="en-US" w:eastAsia="zh-CN" w:bidi="ar"/>
              </w:rPr>
              <w:t>γ</w:t>
            </w:r>
            <w:r>
              <w:rPr>
                <w:rStyle w:val="8"/>
                <w:sz w:val="24"/>
                <w:szCs w:val="24"/>
                <w:bdr w:val="none" w:color="auto" w:sz="0" w:space="0"/>
                <w:lang w:val="en-US" w:eastAsia="zh-CN" w:bidi="ar"/>
              </w:rPr>
              <w:t>射线，需125I粒子储源箱储存。</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对125I产生的</w:t>
            </w:r>
            <w:r>
              <w:rPr>
                <w:rStyle w:val="7"/>
                <w:sz w:val="24"/>
                <w:szCs w:val="24"/>
                <w:bdr w:val="none" w:color="auto" w:sz="0" w:space="0"/>
                <w:lang w:val="en-US" w:eastAsia="zh-CN" w:bidi="ar"/>
              </w:rPr>
              <w:t>γ</w:t>
            </w:r>
            <w:r>
              <w:rPr>
                <w:rStyle w:val="8"/>
                <w:sz w:val="24"/>
                <w:szCs w:val="24"/>
                <w:bdr w:val="none" w:color="auto" w:sz="0" w:space="0"/>
                <w:lang w:val="en-US" w:eastAsia="zh-CN" w:bidi="ar"/>
              </w:rPr>
              <w:t>射线防护</w:t>
            </w:r>
          </w:p>
        </w:tc>
      </w:tr>
      <w:tr>
        <w:tblPrEx>
          <w:tblCellMar>
            <w:top w:w="0" w:type="dxa"/>
            <w:left w:w="0" w:type="dxa"/>
            <w:bottom w:w="0" w:type="dxa"/>
            <w:right w:w="0" w:type="dxa"/>
          </w:tblCellMar>
        </w:tblPrEx>
        <w:trPr>
          <w:trHeight w:val="90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131I治疗后全身动态监测系统</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新院区核素治疗病房给予</w:t>
            </w:r>
            <w:r>
              <w:rPr>
                <w:rStyle w:val="9"/>
                <w:sz w:val="24"/>
                <w:szCs w:val="24"/>
                <w:bdr w:val="none" w:color="auto" w:sz="0" w:space="0"/>
                <w:lang w:val="en-US" w:eastAsia="zh-CN" w:bidi="ar"/>
              </w:rPr>
              <w:t>131</w:t>
            </w:r>
            <w:r>
              <w:rPr>
                <w:rStyle w:val="8"/>
                <w:sz w:val="24"/>
                <w:szCs w:val="24"/>
                <w:bdr w:val="none" w:color="auto" w:sz="0" w:space="0"/>
                <w:lang w:val="en-US" w:eastAsia="zh-CN" w:bidi="ar"/>
              </w:rPr>
              <w:t>I隔离治疗的患者体内残留</w:t>
            </w:r>
            <w:r>
              <w:rPr>
                <w:rStyle w:val="9"/>
                <w:sz w:val="24"/>
                <w:szCs w:val="24"/>
                <w:bdr w:val="none" w:color="auto" w:sz="0" w:space="0"/>
                <w:lang w:val="en-US" w:eastAsia="zh-CN" w:bidi="ar"/>
              </w:rPr>
              <w:t>131</w:t>
            </w:r>
            <w:r>
              <w:rPr>
                <w:rStyle w:val="8"/>
                <w:sz w:val="24"/>
                <w:szCs w:val="24"/>
                <w:bdr w:val="none" w:color="auto" w:sz="0" w:space="0"/>
                <w:lang w:val="en-US" w:eastAsia="zh-CN" w:bidi="ar"/>
              </w:rPr>
              <w:t>I剂量检测。</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患者体内残留131I剂量检测</w:t>
            </w:r>
          </w:p>
        </w:tc>
      </w:tr>
      <w:tr>
        <w:tblPrEx>
          <w:tblCellMar>
            <w:top w:w="0" w:type="dxa"/>
            <w:left w:w="0" w:type="dxa"/>
            <w:bottom w:w="0" w:type="dxa"/>
            <w:right w:w="0" w:type="dxa"/>
          </w:tblCellMar>
        </w:tblPrEx>
        <w:trPr>
          <w:trHeight w:val="480" w:hRule="atLeast"/>
        </w:trPr>
        <w:tc>
          <w:tcPr>
            <w:tcW w:w="90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24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SPECT/CT报告打印机</w:t>
            </w:r>
          </w:p>
        </w:tc>
        <w:tc>
          <w:tcPr>
            <w:tcW w:w="64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新院区SPECT/CT报告的打印</w:t>
            </w:r>
          </w:p>
        </w:tc>
        <w:tc>
          <w:tcPr>
            <w:tcW w:w="4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SPECT/CT报告的胶片打印</w:t>
            </w:r>
          </w:p>
        </w:tc>
      </w:tr>
    </w:tbl>
    <w:p>
      <w:pPr>
        <w:ind w:left="0" w:leftChars="0" w:firstLine="0" w:firstLineChars="0"/>
        <w:rPr>
          <w:rFonts w:hint="default"/>
          <w:lang w:val="en-US" w:eastAsia="zh-CN"/>
        </w:rPr>
      </w:pPr>
    </w:p>
    <w:sectPr>
      <w:headerReference r:id="rId3" w:type="default"/>
      <w:footerReference r:id="rId4" w:type="default"/>
      <w:pgSz w:w="16838" w:h="11906" w:orient="landscape"/>
      <w:pgMar w:top="1800" w:right="1440" w:bottom="1800" w:left="144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108660"/>
    </w:sdtPr>
    <w:sdtEndPr>
      <w:rPr>
        <w:rFonts w:hint="eastAsia" w:ascii="仿宋_GB2312"/>
        <w:sz w:val="28"/>
        <w:szCs w:val="28"/>
      </w:rPr>
    </w:sdtEndPr>
    <w:sdtContent>
      <w:p>
        <w:pPr>
          <w:pStyle w:val="2"/>
          <w:ind w:firstLine="36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rPr>
          <w:t>- 1 -</w:t>
        </w:r>
        <w:r>
          <w:rPr>
            <w:rFonts w:hint="eastAsia" w:ascii="仿宋_GB2312"/>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TMzMzc1YTAzNmVkZDM4ZDA3ZDYzM2NjNGJhNGEifQ=="/>
  </w:docVars>
  <w:rsids>
    <w:rsidRoot w:val="2E200623"/>
    <w:rsid w:val="13974123"/>
    <w:rsid w:val="15F435BB"/>
    <w:rsid w:val="20BE2794"/>
    <w:rsid w:val="23B36307"/>
    <w:rsid w:val="2DE127BD"/>
    <w:rsid w:val="2E200623"/>
    <w:rsid w:val="364B693D"/>
    <w:rsid w:val="3705665A"/>
    <w:rsid w:val="423C722F"/>
    <w:rsid w:val="6546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81"/>
    <w:basedOn w:val="4"/>
    <w:uiPriority w:val="0"/>
    <w:rPr>
      <w:rFonts w:hint="eastAsia" w:ascii="宋体" w:hAnsi="宋体" w:eastAsia="宋体" w:cs="宋体"/>
      <w:color w:val="000000"/>
      <w:sz w:val="20"/>
      <w:szCs w:val="20"/>
      <w:u w:val="none"/>
    </w:rPr>
  </w:style>
  <w:style w:type="character" w:customStyle="1" w:styleId="6">
    <w:name w:val="font01"/>
    <w:basedOn w:val="4"/>
    <w:uiPriority w:val="0"/>
    <w:rPr>
      <w:rFonts w:hint="eastAsia" w:ascii="宋体" w:hAnsi="宋体" w:eastAsia="宋体" w:cs="宋体"/>
      <w:color w:val="000000"/>
      <w:sz w:val="20"/>
      <w:szCs w:val="20"/>
      <w:u w:val="none"/>
    </w:rPr>
  </w:style>
  <w:style w:type="character" w:customStyle="1" w:styleId="7">
    <w:name w:val="font71"/>
    <w:basedOn w:val="4"/>
    <w:uiPriority w:val="0"/>
    <w:rPr>
      <w:rFonts w:hint="eastAsia" w:ascii="宋体" w:hAnsi="宋体" w:eastAsia="宋体" w:cs="宋体"/>
      <w:color w:val="000000"/>
      <w:sz w:val="20"/>
      <w:szCs w:val="20"/>
      <w:u w:val="none"/>
    </w:rPr>
  </w:style>
  <w:style w:type="character" w:customStyle="1" w:styleId="8">
    <w:name w:val="font41"/>
    <w:basedOn w:val="4"/>
    <w:uiPriority w:val="0"/>
    <w:rPr>
      <w:rFonts w:hint="eastAsia" w:ascii="宋体" w:hAnsi="宋体" w:eastAsia="宋体" w:cs="宋体"/>
      <w:color w:val="000000"/>
      <w:sz w:val="20"/>
      <w:szCs w:val="20"/>
      <w:u w:val="none"/>
    </w:rPr>
  </w:style>
  <w:style w:type="character" w:customStyle="1" w:styleId="9">
    <w:name w:val="font91"/>
    <w:basedOn w:val="4"/>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14</TotalTime>
  <ScaleCrop>false</ScaleCrop>
  <LinksUpToDate>false</LinksUpToDate>
  <CharactersWithSpaces>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2022-05-04T16:13:00Z</dcterms:created>
  <dc:creator>Lenovo</dc:creator>
  <cp:lastModifiedBy>Administrator</cp:lastModifiedBy>
  <dcterms:modified xsi:type="dcterms:W3CDTF">2022-05-23T01:01:51Z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063AEEA4048040089495D7964AFDD2C7</vt:lpwstr>
  </property>
</Properties>
</file>