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0436B">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s="微软雅黑"/>
          <w:sz w:val="44"/>
          <w:szCs w:val="44"/>
        </w:rPr>
      </w:pPr>
      <w:bookmarkStart w:id="0" w:name="_GoBack"/>
      <w:r>
        <w:rPr>
          <w:rFonts w:hint="eastAsia" w:ascii="Times New Roman" w:hAnsi="Times New Roman" w:eastAsia="方正小标宋_GBK" w:cs="微软雅黑"/>
          <w:sz w:val="44"/>
          <w:szCs w:val="44"/>
        </w:rPr>
        <w:t>2024年“数据要素×”大赛</w:t>
      </w:r>
    </w:p>
    <w:p w14:paraId="4E87E025">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sz w:val="32"/>
          <w:szCs w:val="32"/>
        </w:rPr>
      </w:pPr>
      <w:r>
        <w:rPr>
          <w:rFonts w:hint="eastAsia" w:ascii="Times New Roman" w:hAnsi="Times New Roman" w:eastAsia="方正小标宋_GBK" w:cs="微软雅黑"/>
          <w:sz w:val="44"/>
          <w:szCs w:val="44"/>
        </w:rPr>
        <w:t>吉林省分赛方案</w:t>
      </w:r>
    </w:p>
    <w:bookmarkEnd w:id="0"/>
    <w:p w14:paraId="73CA55D9">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sz w:val="32"/>
          <w:szCs w:val="32"/>
        </w:rPr>
      </w:pPr>
    </w:p>
    <w:p w14:paraId="381C8D01">
      <w:pPr>
        <w:pStyle w:val="8"/>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w:t>
      </w:r>
      <w:r>
        <w:rPr>
          <w:rFonts w:hint="eastAsia" w:ascii="Times New Roman" w:hAnsi="Times New Roman" w:eastAsia="仿宋_GB2312" w:cs="Times New Roman"/>
          <w:sz w:val="32"/>
          <w:szCs w:val="32"/>
        </w:rPr>
        <w:t>党的二十大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二十届三中全会</w:t>
      </w:r>
      <w:r>
        <w:rPr>
          <w:rFonts w:hint="eastAsia" w:ascii="Times New Roman" w:hAnsi="Times New Roman" w:eastAsia="仿宋_GB2312" w:cs="Times New Roman"/>
          <w:sz w:val="32"/>
          <w:szCs w:val="32"/>
        </w:rPr>
        <w:t>精神，</w:t>
      </w:r>
      <w:r>
        <w:rPr>
          <w:rFonts w:hint="eastAsia" w:ascii="Times New Roman" w:hAnsi="Times New Roman" w:eastAsia="仿宋_GB2312"/>
          <w:sz w:val="32"/>
          <w:szCs w:val="32"/>
        </w:rPr>
        <w:t>落实《“数据要素×”三年行动计划（2024—2026年）》，充分发挥数据要素乘数效应，赋能经济社会发展，根据国家数据局等有关部门《关于举办2024年“数据要素×”大赛的通知》要求，</w:t>
      </w:r>
      <w:r>
        <w:rPr>
          <w:rFonts w:ascii="Times New Roman" w:hAnsi="Times New Roman" w:eastAsia="仿宋_GB2312" w:cs="Times New Roman"/>
          <w:sz w:val="32"/>
          <w:szCs w:val="32"/>
        </w:rPr>
        <w:t>吉林省政务服务和数字化建设管理局联合各有关部门</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主办2024年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数据要素×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大赛吉林</w:t>
      </w:r>
      <w:r>
        <w:rPr>
          <w:rFonts w:hint="eastAsia" w:ascii="Times New Roman" w:hAnsi="Times New Roman" w:eastAsia="仿宋_GB2312" w:cs="Times New Roman"/>
          <w:sz w:val="32"/>
          <w:szCs w:val="32"/>
          <w:lang w:val="en-US" w:eastAsia="zh-CN"/>
        </w:rPr>
        <w:t>省</w:t>
      </w:r>
      <w:r>
        <w:rPr>
          <w:rFonts w:ascii="Times New Roman" w:hAnsi="Times New Roman" w:eastAsia="仿宋_GB2312" w:cs="Times New Roman"/>
          <w:sz w:val="32"/>
          <w:szCs w:val="32"/>
        </w:rPr>
        <w:t>分赛</w:t>
      </w:r>
      <w:r>
        <w:rPr>
          <w:rFonts w:hint="eastAsia" w:ascii="Times New Roman" w:hAnsi="Times New Roman" w:eastAsia="仿宋_GB2312"/>
          <w:sz w:val="32"/>
          <w:szCs w:val="32"/>
        </w:rPr>
        <w:t>，面向社会征集参赛项目。</w:t>
      </w:r>
    </w:p>
    <w:p w14:paraId="60905A0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一、赛事主题</w:t>
      </w:r>
    </w:p>
    <w:p w14:paraId="24B3F92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“数据赋能 乘数而上”</w:t>
      </w:r>
    </w:p>
    <w:p w14:paraId="3CE605B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二、时间、地点</w:t>
      </w:r>
    </w:p>
    <w:p w14:paraId="3E38C029">
      <w:pPr>
        <w:keepNext w:val="0"/>
        <w:keepLines w:val="0"/>
        <w:pageBreakBefore w:val="0"/>
        <w:widowControl w:val="0"/>
        <w:kinsoku/>
        <w:wordWrap/>
        <w:overflowPunct/>
        <w:topLinePunct w:val="0"/>
        <w:autoSpaceDE/>
        <w:autoSpaceDN/>
        <w:bidi w:val="0"/>
        <w:spacing w:line="600" w:lineRule="exact"/>
        <w:ind w:firstLine="640" w:firstLineChars="200"/>
        <w:textAlignment w:val="auto"/>
        <w:rPr>
          <w:rStyle w:val="7"/>
          <w:rFonts w:ascii="Times New Roman" w:hAnsi="Times New Roman" w:eastAsia="仿宋_GB2312" w:cs="Times New Roman"/>
          <w:b w:val="0"/>
          <w:bCs w:val="0"/>
          <w:sz w:val="32"/>
          <w:szCs w:val="32"/>
        </w:rPr>
      </w:pPr>
      <w:r>
        <w:rPr>
          <w:rStyle w:val="7"/>
          <w:rFonts w:hint="eastAsia" w:ascii="Times New Roman" w:hAnsi="Times New Roman" w:eastAsia="仿宋_GB2312" w:cs="Times New Roman"/>
          <w:b w:val="0"/>
          <w:bCs w:val="0"/>
          <w:sz w:val="32"/>
          <w:szCs w:val="32"/>
        </w:rPr>
        <w:t>时间：</w:t>
      </w:r>
      <w:r>
        <w:rPr>
          <w:rStyle w:val="7"/>
          <w:rFonts w:ascii="Times New Roman" w:hAnsi="Times New Roman" w:eastAsia="仿宋_GB2312" w:cs="Times New Roman"/>
          <w:b w:val="0"/>
          <w:bCs w:val="0"/>
          <w:sz w:val="32"/>
          <w:szCs w:val="32"/>
        </w:rPr>
        <w:t>2024年</w:t>
      </w:r>
      <w:r>
        <w:rPr>
          <w:rStyle w:val="7"/>
          <w:rFonts w:hint="eastAsia" w:ascii="Times New Roman" w:hAnsi="Times New Roman" w:eastAsia="仿宋_GB2312" w:cs="Times New Roman"/>
          <w:b w:val="0"/>
          <w:bCs w:val="0"/>
          <w:sz w:val="32"/>
          <w:szCs w:val="32"/>
          <w:lang w:val="en-US" w:eastAsia="zh-CN"/>
        </w:rPr>
        <w:t>8</w:t>
      </w:r>
      <w:r>
        <w:rPr>
          <w:rStyle w:val="7"/>
          <w:rFonts w:ascii="Times New Roman" w:hAnsi="Times New Roman" w:eastAsia="仿宋_GB2312" w:cs="Times New Roman"/>
          <w:b w:val="0"/>
          <w:bCs w:val="0"/>
          <w:sz w:val="32"/>
          <w:szCs w:val="32"/>
        </w:rPr>
        <w:t>月</w:t>
      </w:r>
      <w:r>
        <w:rPr>
          <w:rStyle w:val="7"/>
          <w:rFonts w:hint="eastAsia" w:ascii="Times New Roman" w:hAnsi="Times New Roman" w:eastAsia="仿宋_GB2312" w:cs="Times New Roman"/>
          <w:b w:val="0"/>
          <w:bCs w:val="0"/>
          <w:sz w:val="32"/>
          <w:szCs w:val="32"/>
        </w:rPr>
        <w:t>至</w:t>
      </w:r>
      <w:r>
        <w:rPr>
          <w:rStyle w:val="7"/>
          <w:rFonts w:ascii="Times New Roman" w:hAnsi="Times New Roman" w:eastAsia="仿宋_GB2312" w:cs="Times New Roman"/>
          <w:b w:val="0"/>
          <w:bCs w:val="0"/>
          <w:sz w:val="32"/>
          <w:szCs w:val="32"/>
        </w:rPr>
        <w:t>9月</w:t>
      </w:r>
    </w:p>
    <w:p w14:paraId="39268BC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Style w:val="7"/>
          <w:rFonts w:hint="eastAsia" w:ascii="Times New Roman" w:hAnsi="Times New Roman" w:eastAsia="仿宋_GB2312" w:cs="Times New Roman"/>
          <w:b w:val="0"/>
          <w:bCs w:val="0"/>
          <w:sz w:val="32"/>
          <w:szCs w:val="32"/>
        </w:rPr>
        <w:t>地点：长春市</w:t>
      </w:r>
    </w:p>
    <w:p w14:paraId="0D8005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、组织单位</w:t>
      </w:r>
    </w:p>
    <w:p w14:paraId="30687C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指导单位：国家数据局</w:t>
      </w:r>
    </w:p>
    <w:p w14:paraId="7C7FE9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吉林省政务服务和数字化建设管理局、吉林省委金融委员会办公室、吉林省科学技术厅、吉林省工业和信息化厅、吉林省生态环境厅、吉林省交通运输厅、吉林省农业农村厅、吉林省商务厅、吉林省文化和旅游厅、吉林省卫生和健康委员会、吉林省应急管理厅、吉林省能源局、吉林省气象局</w:t>
      </w:r>
    </w:p>
    <w:p w14:paraId="39A90F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承办单位：</w:t>
      </w:r>
      <w:r>
        <w:rPr>
          <w:rFonts w:hint="eastAsia" w:ascii="Times New Roman" w:hAnsi="Times New Roman" w:eastAsia="仿宋_GB2312"/>
          <w:sz w:val="32"/>
          <w:szCs w:val="32"/>
        </w:rPr>
        <w:t>长春市政务服务和数字化建设管理局</w:t>
      </w:r>
    </w:p>
    <w:p w14:paraId="372798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sz w:val="32"/>
          <w:szCs w:val="32"/>
        </w:rPr>
        <w:t>专家评审委员会：由高校、科研院所、投融资机构、行业协会、大型企业等相关专家组成</w:t>
      </w:r>
      <w:r>
        <w:rPr>
          <w:rFonts w:hint="eastAsia" w:ascii="Times New Roman" w:hAnsi="Times New Roman" w:eastAsia="仿宋_GB2312"/>
          <w:sz w:val="32"/>
          <w:szCs w:val="32"/>
          <w:lang w:eastAsia="zh-CN"/>
        </w:rPr>
        <w:t>。</w:t>
      </w:r>
    </w:p>
    <w:p w14:paraId="602A058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四、参赛条件</w:t>
      </w:r>
    </w:p>
    <w:p w14:paraId="0EDC760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大赛秉持开门办赛的原则，企业、事业单位、科研院所、高校等均可参赛，鼓励产学研用等主体联合参赛。参赛单位、参赛项目、提交材料应符合大赛基本要求。</w:t>
      </w:r>
    </w:p>
    <w:p w14:paraId="7C29D5E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（一）参赛单位要求</w:t>
      </w:r>
    </w:p>
    <w:p w14:paraId="4CB400C6">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单位须是具有独立法人资格的企业、事业单位、科研院所、高校等单位。允许上述组织间合作组队报名，合作组队需指定一个组织为牵头参赛单位。被列入“信用中国”网站记录失信被执行人、重大税收违法案件当事人名单、政府采购严重违法失信行为记录名单的单位不得参赛。</w:t>
      </w:r>
    </w:p>
    <w:p w14:paraId="3F3EDEBC">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同一参赛单位可以有多个团队和项目参赛，但每个参赛团队只能提交1个参赛项目，每个参赛团队的参赛代表人数不超过5人，每个参赛代表只能代表1个团队参加比赛。报名截止之后，参赛代表不可更改。</w:t>
      </w:r>
    </w:p>
    <w:p w14:paraId="3AE1D925">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参赛团队仅能选择吉林省分赛区报名参赛，并需遵守赛区的赛事要求和安排，不得重复参赛。</w:t>
      </w:r>
    </w:p>
    <w:p w14:paraId="385F4190">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参赛团队需遵守大赛规则，对所有信息的准确性和真实性负责，一经发现虚假信息将取消参赛资格。参赛团队名称需符合法律法规、公序良俗相关规定。</w:t>
      </w:r>
    </w:p>
    <w:p w14:paraId="7F14FCE1">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吉林</w:t>
      </w:r>
      <w:r>
        <w:rPr>
          <w:rFonts w:hint="eastAsia" w:ascii="Times New Roman" w:hAnsi="Times New Roman" w:eastAsia="仿宋_GB2312" w:cs="仿宋_GB2312"/>
          <w:sz w:val="32"/>
          <w:szCs w:val="32"/>
          <w:lang w:val="en-US" w:eastAsia="zh-CN"/>
        </w:rPr>
        <w:t>省</w:t>
      </w:r>
      <w:r>
        <w:rPr>
          <w:rFonts w:hint="eastAsia" w:ascii="Times New Roman" w:hAnsi="Times New Roman" w:eastAsia="仿宋_GB2312" w:cs="仿宋_GB2312"/>
          <w:sz w:val="32"/>
          <w:szCs w:val="32"/>
        </w:rPr>
        <w:t>分赛相关组织单位及其下属分公司、子公司、控股公司、母公司均不得在本赛区参赛，否则参赛成绩无效。</w:t>
      </w:r>
    </w:p>
    <w:p w14:paraId="0359589F">
      <w:pPr>
        <w:pStyle w:val="8"/>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获得晋级全国总决赛资格的参赛单位应接受吉林</w:t>
      </w:r>
      <w:r>
        <w:rPr>
          <w:rFonts w:hint="eastAsia" w:ascii="Times New Roman" w:hAnsi="Times New Roman" w:eastAsia="仿宋_GB2312" w:cs="仿宋_GB2312"/>
          <w:sz w:val="32"/>
          <w:szCs w:val="32"/>
          <w:lang w:val="en-US" w:eastAsia="zh-CN"/>
        </w:rPr>
        <w:t>省</w:t>
      </w:r>
      <w:r>
        <w:rPr>
          <w:rFonts w:hint="eastAsia" w:ascii="Times New Roman" w:hAnsi="Times New Roman" w:eastAsia="仿宋_GB2312" w:cs="仿宋_GB2312"/>
          <w:sz w:val="32"/>
          <w:szCs w:val="32"/>
        </w:rPr>
        <w:t>分赛主办方或大赛组委会包括参赛项目知识产权审查在内的相关审核，审核未通过的团队将取消全国总决赛参赛资格。</w:t>
      </w:r>
    </w:p>
    <w:p w14:paraId="0F3A7B0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（二）参赛项目要求</w:t>
      </w:r>
    </w:p>
    <w:p w14:paraId="428B3D39">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参赛项目须符合吉林省分赛区赛题方向，每个参赛项目限报一个赛题方向，且仅在吉林省分赛区参赛。赛题一经选定不得更改。</w:t>
      </w:r>
    </w:p>
    <w:p w14:paraId="27086E0E">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参赛项目要求已经开展实际应用，并已取得良好的经济或社会效益，包括但不限于拥有自主知识产权的技术、产品、解决方案等。</w:t>
      </w:r>
    </w:p>
    <w:p w14:paraId="3486DA8C">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参赛项目的创意、产品、技术及相关专利等知识产权应归属参赛单位，未侵犯任何他人的专利权、著作权、商标权及其他知识产权，且不得违反国家相关法律法规，否则将取消参赛资格和成绩。</w:t>
      </w:r>
    </w:p>
    <w:p w14:paraId="50D95A48">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具体参赛项目名称由参赛团队自行拟定，符合赛道和赛题要求，能体现出数据要素的主要特征，名称需符合法律法规、公序良俗相关规定。</w:t>
      </w:r>
    </w:p>
    <w:p w14:paraId="74B0A32C">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在吉林</w:t>
      </w:r>
      <w:r>
        <w:rPr>
          <w:rFonts w:hint="eastAsia" w:ascii="Times New Roman" w:hAnsi="Times New Roman" w:eastAsia="仿宋_GB2312" w:cs="仿宋_GB2312"/>
          <w:sz w:val="32"/>
          <w:szCs w:val="32"/>
          <w:lang w:val="en-US" w:eastAsia="zh-CN"/>
        </w:rPr>
        <w:t>省</w:t>
      </w:r>
      <w:r>
        <w:rPr>
          <w:rFonts w:hint="eastAsia" w:ascii="Times New Roman" w:hAnsi="Times New Roman" w:eastAsia="仿宋_GB2312" w:cs="仿宋_GB2312"/>
          <w:sz w:val="32"/>
          <w:szCs w:val="32"/>
        </w:rPr>
        <w:t>分赛、全国总决赛期间，参赛团队均可在不改变项目名称和主要内容的基础上，持续推进参赛项目迭代升级。</w:t>
      </w:r>
    </w:p>
    <w:p w14:paraId="6DE13114">
      <w:pPr>
        <w:pStyle w:val="8"/>
        <w:keepNext w:val="0"/>
        <w:keepLines w:val="0"/>
        <w:pageBreakBefore w:val="0"/>
        <w:widowControl w:val="0"/>
        <w:numPr>
          <w:ilvl w:val="0"/>
          <w:numId w:val="2"/>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评审期间，参赛团队须按照大赛组委会的要求补充提交参赛项目有关材料。所有已提交的相关材料原则上不予退还。</w:t>
      </w:r>
    </w:p>
    <w:p w14:paraId="4C718EE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（三）参赛项目提交内容</w:t>
      </w:r>
    </w:p>
    <w:p w14:paraId="1537288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参赛项目应包括但不限于以下内容：</w:t>
      </w:r>
    </w:p>
    <w:p w14:paraId="5CB84A41">
      <w:pPr>
        <w:pStyle w:val="8"/>
        <w:keepNext w:val="0"/>
        <w:keepLines w:val="0"/>
        <w:pageBreakBefore w:val="0"/>
        <w:widowControl w:val="0"/>
        <w:numPr>
          <w:ilvl w:val="0"/>
          <w:numId w:val="3"/>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项目申报书。</w:t>
      </w:r>
    </w:p>
    <w:p w14:paraId="735C162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（1）项目概述：项目背景、应用行业、核心优势等。</w:t>
      </w:r>
    </w:p>
    <w:p w14:paraId="757B02E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（2）解决方案：架构设计、方案功能、关键技术、数据要素利用方案等。</w:t>
      </w:r>
    </w:p>
    <w:p w14:paraId="016A3FB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（3）应用价值：具体应用案例、经济效益、社会效益等。</w:t>
      </w:r>
    </w:p>
    <w:p w14:paraId="11EF155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（4）商业模式：推广模式、市场空间、社会效应等。</w:t>
      </w:r>
    </w:p>
    <w:p w14:paraId="32739E4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（5）团队介绍：履历、资质和优势等。</w:t>
      </w:r>
    </w:p>
    <w:p w14:paraId="79ABAC83">
      <w:pPr>
        <w:pStyle w:val="8"/>
        <w:keepNext w:val="0"/>
        <w:keepLines w:val="0"/>
        <w:pageBreakBefore w:val="0"/>
        <w:widowControl w:val="0"/>
        <w:numPr>
          <w:ilvl w:val="0"/>
          <w:numId w:val="4"/>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相关证明材料。参赛单位相关的基本资质、申报主体责任声明、财务审计、信用情况等证明材料，以及和参赛项目相关的基本资质证明、应用案例证明、知识产权证明等材料。所有材料须为参赛单位所有，严禁使用母公司、分公司、子公司、控股公司或其它非参赛单位材料，否则将取消参赛资格和成绩。</w:t>
      </w:r>
    </w:p>
    <w:p w14:paraId="57D7EB74">
      <w:pPr>
        <w:pStyle w:val="8"/>
        <w:keepNext w:val="0"/>
        <w:keepLines w:val="0"/>
        <w:pageBreakBefore w:val="0"/>
        <w:widowControl w:val="0"/>
        <w:numPr>
          <w:ilvl w:val="0"/>
          <w:numId w:val="4"/>
        </w:numPr>
        <w:kinsoku/>
        <w:wordWrap/>
        <w:overflowPunct/>
        <w:topLinePunct w:val="0"/>
        <w:autoSpaceDE/>
        <w:autoSpaceDN/>
        <w:bidi w:val="0"/>
        <w:spacing w:line="600" w:lineRule="exact"/>
        <w:ind w:firstLine="640"/>
        <w:textAlignment w:val="auto"/>
        <w:outlineLvl w:val="2"/>
        <w:rPr>
          <w:rFonts w:hint="eastAsia" w:ascii="Times New Roman" w:hAnsi="Times New Roman" w:eastAsia="仿宋_GB2312" w:cs="仿宋_GB2312"/>
          <w:sz w:val="32"/>
        </w:rPr>
      </w:pPr>
      <w:r>
        <w:rPr>
          <w:rFonts w:hint="eastAsia" w:ascii="Times New Roman" w:hAnsi="Times New Roman" w:eastAsia="仿宋_GB2312" w:cs="仿宋_GB2312"/>
          <w:sz w:val="32"/>
        </w:rPr>
        <w:t>其他证明材料。例如：项目评审时需要的介绍材料、可直观展示参赛项目效果的视频、产品解决方案的模型和说明文档等。</w:t>
      </w:r>
    </w:p>
    <w:p w14:paraId="06A6C32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w:t>
      </w:r>
      <w:r>
        <w:rPr>
          <w:rStyle w:val="7"/>
          <w:rFonts w:ascii="Times New Roman" w:hAnsi="Times New Roman" w:eastAsia="黑体" w:cs="Times New Roman"/>
          <w:b w:val="0"/>
          <w:bCs w:val="0"/>
          <w:sz w:val="32"/>
          <w:szCs w:val="32"/>
        </w:rPr>
        <w:t>赛事</w:t>
      </w:r>
      <w:r>
        <w:rPr>
          <w:rStyle w:val="7"/>
          <w:rFonts w:hint="eastAsia" w:ascii="Times New Roman" w:hAnsi="Times New Roman" w:eastAsia="黑体" w:cs="Times New Roman"/>
          <w:b w:val="0"/>
          <w:bCs w:val="0"/>
          <w:sz w:val="32"/>
          <w:szCs w:val="32"/>
        </w:rPr>
        <w:t>安排</w:t>
      </w:r>
    </w:p>
    <w:p w14:paraId="50DC8F4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sz w:val="32"/>
          <w:szCs w:val="32"/>
        </w:rPr>
      </w:pPr>
      <w:r>
        <w:rPr>
          <w:rStyle w:val="7"/>
          <w:rFonts w:ascii="Times New Roman" w:hAnsi="Times New Roman" w:eastAsia="楷体_GB2312" w:cs="Times New Roman"/>
          <w:b w:val="0"/>
          <w:bCs w:val="0"/>
          <w:sz w:val="32"/>
          <w:szCs w:val="32"/>
        </w:rPr>
        <w:t>（一）</w:t>
      </w:r>
      <w:r>
        <w:rPr>
          <w:rFonts w:ascii="Times New Roman" w:hAnsi="Times New Roman" w:eastAsia="楷体_GB2312" w:cs="Times New Roman"/>
          <w:sz w:val="32"/>
          <w:szCs w:val="32"/>
        </w:rPr>
        <w:t>赛程设置</w:t>
      </w:r>
    </w:p>
    <w:p w14:paraId="23DBAD0D">
      <w:pPr>
        <w:pStyle w:val="8"/>
        <w:keepNext w:val="0"/>
        <w:keepLines w:val="0"/>
        <w:pageBreakBefore w:val="0"/>
        <w:widowControl w:val="0"/>
        <w:numPr>
          <w:ilvl w:val="0"/>
          <w:numId w:val="0"/>
        </w:numPr>
        <w:kinsoku/>
        <w:wordWrap/>
        <w:overflowPunct/>
        <w:topLinePunct w:val="0"/>
        <w:autoSpaceDE/>
        <w:autoSpaceDN/>
        <w:bidi w:val="0"/>
        <w:spacing w:line="600" w:lineRule="exact"/>
        <w:ind w:left="640" w:leftChars="0" w:firstLine="0" w:firstLineChars="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1．</w:t>
      </w:r>
      <w:r>
        <w:rPr>
          <w:rFonts w:hint="eastAsia" w:ascii="Times New Roman" w:hAnsi="Times New Roman" w:eastAsia="仿宋_GB2312" w:cs="仿宋_GB2312"/>
          <w:sz w:val="32"/>
          <w:szCs w:val="32"/>
        </w:rPr>
        <w:t>报名阶段</w:t>
      </w:r>
    </w:p>
    <w:p w14:paraId="7FC906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r>
        <w:rPr>
          <w:rFonts w:hint="eastAsia" w:ascii="Times New Roman" w:hAnsi="Times New Roman" w:eastAsia="仿宋_GB2312" w:cs="仿宋_GB2312"/>
          <w:b w:val="0"/>
          <w:bCs w:val="0"/>
          <w:color w:val="auto"/>
          <w:sz w:val="32"/>
          <w:szCs w:val="32"/>
          <w:lang w:val="en-US" w:eastAsia="zh-CN"/>
        </w:rPr>
        <w:t>8</w:t>
      </w:r>
      <w:r>
        <w:rPr>
          <w:rFonts w:hint="eastAsia" w:ascii="Times New Roman" w:hAnsi="Times New Roman" w:eastAsia="仿宋_GB2312" w:cs="仿宋_GB2312"/>
          <w:b w:val="0"/>
          <w:bCs w:val="0"/>
          <w:color w:val="auto"/>
          <w:sz w:val="32"/>
          <w:szCs w:val="32"/>
        </w:rPr>
        <w:t>月</w:t>
      </w:r>
      <w:r>
        <w:rPr>
          <w:rFonts w:hint="eastAsia" w:ascii="Times New Roman" w:hAnsi="Times New Roman" w:eastAsia="仿宋_GB2312" w:cs="仿宋_GB2312"/>
          <w:b w:val="0"/>
          <w:bCs w:val="0"/>
          <w:color w:val="auto"/>
          <w:sz w:val="32"/>
          <w:szCs w:val="32"/>
          <w:lang w:val="en-US" w:eastAsia="zh-CN"/>
        </w:rPr>
        <w:t>8</w:t>
      </w:r>
      <w:r>
        <w:rPr>
          <w:rFonts w:hint="eastAsia" w:ascii="Times New Roman" w:hAnsi="Times New Roman" w:eastAsia="仿宋_GB2312" w:cs="仿宋_GB2312"/>
          <w:b w:val="0"/>
          <w:bCs w:val="0"/>
          <w:color w:val="auto"/>
          <w:sz w:val="32"/>
          <w:szCs w:val="32"/>
        </w:rPr>
        <w:t>日-8月</w:t>
      </w:r>
      <w:r>
        <w:rPr>
          <w:rFonts w:hint="eastAsia" w:ascii="Times New Roman" w:hAnsi="Times New Roman" w:eastAsia="仿宋_GB2312" w:cs="仿宋_GB2312"/>
          <w:b w:val="0"/>
          <w:bCs w:val="0"/>
          <w:color w:val="auto"/>
          <w:sz w:val="32"/>
          <w:szCs w:val="32"/>
          <w:lang w:val="en-US" w:eastAsia="zh-CN"/>
        </w:rPr>
        <w:t>25</w:t>
      </w:r>
      <w:r>
        <w:rPr>
          <w:rFonts w:hint="eastAsia" w:ascii="Times New Roman" w:hAnsi="Times New Roman" w:eastAsia="仿宋_GB2312" w:cs="仿宋_GB2312"/>
          <w:b w:val="0"/>
          <w:bCs w:val="0"/>
          <w:color w:val="auto"/>
          <w:sz w:val="32"/>
          <w:szCs w:val="32"/>
        </w:rPr>
        <w:t>日</w:t>
      </w:r>
    </w:p>
    <w:p w14:paraId="2F4609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参赛对象登录大赛官网进行报名，同时在省政府网站、省政数局网站等平台设置报名宣传入口，相关赛事事宜均通过官网进行发布。赛事评审委员会同步对参赛资格进行审查。</w:t>
      </w:r>
    </w:p>
    <w:p w14:paraId="1F02EC9F">
      <w:pPr>
        <w:pStyle w:val="8"/>
        <w:keepNext w:val="0"/>
        <w:keepLines w:val="0"/>
        <w:pageBreakBefore w:val="0"/>
        <w:widowControl w:val="0"/>
        <w:numPr>
          <w:ilvl w:val="0"/>
          <w:numId w:val="0"/>
        </w:numPr>
        <w:kinsoku/>
        <w:wordWrap/>
        <w:overflowPunct/>
        <w:topLinePunct w:val="0"/>
        <w:autoSpaceDE/>
        <w:autoSpaceDN/>
        <w:bidi w:val="0"/>
        <w:spacing w:line="600" w:lineRule="exact"/>
        <w:ind w:left="640" w:leftChars="0" w:firstLine="0" w:firstLineChars="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eastAsia="仿宋_GB2312" w:cs="仿宋_GB2312"/>
          <w:sz w:val="32"/>
          <w:szCs w:val="32"/>
        </w:rPr>
        <w:t>初赛阶段</w:t>
      </w:r>
    </w:p>
    <w:p w14:paraId="7BEB86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r>
        <w:rPr>
          <w:rFonts w:hint="eastAsia" w:ascii="Times New Roman" w:hAnsi="Times New Roman" w:eastAsia="仿宋_GB2312" w:cs="仿宋_GB2312"/>
          <w:b w:val="0"/>
          <w:bCs w:val="0"/>
          <w:color w:val="auto"/>
          <w:sz w:val="32"/>
          <w:szCs w:val="32"/>
          <w:lang w:val="en-US" w:eastAsia="zh-CN"/>
        </w:rPr>
        <w:t>8月26日-9月5日</w:t>
      </w:r>
    </w:p>
    <w:p w14:paraId="0356EC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地点：长春城市智能体运营中心</w:t>
      </w:r>
    </w:p>
    <w:p w14:paraId="478937D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对参赛作品进行初步评审，选出优秀作品进入决赛。</w:t>
      </w:r>
    </w:p>
    <w:p w14:paraId="4024902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评审形式：线上投票+线上评审</w:t>
      </w:r>
    </w:p>
    <w:p w14:paraId="23D2ADBD">
      <w:pPr>
        <w:pStyle w:val="8"/>
        <w:keepNext w:val="0"/>
        <w:keepLines w:val="0"/>
        <w:pageBreakBefore w:val="0"/>
        <w:widowControl w:val="0"/>
        <w:numPr>
          <w:ilvl w:val="0"/>
          <w:numId w:val="0"/>
        </w:numPr>
        <w:kinsoku/>
        <w:wordWrap/>
        <w:overflowPunct/>
        <w:topLinePunct w:val="0"/>
        <w:autoSpaceDE/>
        <w:autoSpaceDN/>
        <w:bidi w:val="0"/>
        <w:spacing w:line="600" w:lineRule="exact"/>
        <w:ind w:left="640" w:leftChars="0" w:firstLine="0" w:firstLineChars="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eastAsia="仿宋_GB2312" w:cs="仿宋_GB2312"/>
          <w:sz w:val="32"/>
          <w:szCs w:val="32"/>
        </w:rPr>
        <w:t>决赛阶段</w:t>
      </w:r>
    </w:p>
    <w:p w14:paraId="317C7D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r>
        <w:rPr>
          <w:rFonts w:hint="eastAsia" w:ascii="Times New Roman" w:hAnsi="Times New Roman" w:eastAsia="仿宋_GB2312" w:cs="仿宋_GB2312"/>
          <w:b w:val="0"/>
          <w:bCs w:val="0"/>
          <w:color w:val="auto"/>
          <w:sz w:val="32"/>
          <w:szCs w:val="32"/>
          <w:lang w:val="en-US" w:eastAsia="zh-CN"/>
        </w:rPr>
        <w:t>9月6日-9月25日</w:t>
      </w:r>
    </w:p>
    <w:p w14:paraId="4EAA8B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地点：长春城市智能体运营中心</w:t>
      </w:r>
    </w:p>
    <w:p w14:paraId="2DDD852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组织决赛答辩，评选出一、二、三等奖及优秀奖。推荐优秀获奖作品进入全国总决赛。</w:t>
      </w:r>
    </w:p>
    <w:p w14:paraId="16D5174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评审形式：线上投票+现场评审</w:t>
      </w:r>
    </w:p>
    <w:p w14:paraId="40E37843">
      <w:pPr>
        <w:pStyle w:val="8"/>
        <w:keepNext w:val="0"/>
        <w:keepLines w:val="0"/>
        <w:pageBreakBefore w:val="0"/>
        <w:widowControl w:val="0"/>
        <w:numPr>
          <w:ilvl w:val="0"/>
          <w:numId w:val="0"/>
        </w:numPr>
        <w:kinsoku/>
        <w:wordWrap/>
        <w:overflowPunct/>
        <w:topLinePunct w:val="0"/>
        <w:autoSpaceDE/>
        <w:autoSpaceDN/>
        <w:bidi w:val="0"/>
        <w:spacing w:line="600" w:lineRule="exact"/>
        <w:ind w:left="640" w:leftChars="0" w:firstLine="0" w:firstLineChars="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eastAsia="仿宋_GB2312" w:cs="仿宋_GB2312"/>
          <w:sz w:val="32"/>
          <w:szCs w:val="32"/>
        </w:rPr>
        <w:t>颁奖仪式</w:t>
      </w:r>
    </w:p>
    <w:p w14:paraId="6A4F37D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时间：9月27日（星期五）</w:t>
      </w:r>
    </w:p>
    <w:p w14:paraId="09B33E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地点：长春规划馆</w:t>
      </w:r>
    </w:p>
    <w:p w14:paraId="44A357D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举行颁奖典礼，对获奖团队或个人进行表彰和奖励。</w:t>
      </w:r>
    </w:p>
    <w:p w14:paraId="1C64767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形式：现场组织+同步直播</w:t>
      </w:r>
    </w:p>
    <w:p w14:paraId="6E08E45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系列活动</w:t>
      </w:r>
    </w:p>
    <w:p w14:paraId="36880856">
      <w:pPr>
        <w:pStyle w:val="8"/>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第一期沙龙活动</w:t>
      </w:r>
    </w:p>
    <w:p w14:paraId="59D9DA67">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r>
        <w:rPr>
          <w:rFonts w:hint="eastAsia" w:ascii="Times New Roman" w:hAnsi="Times New Roman" w:eastAsia="仿宋_GB2312" w:cs="仿宋_GB2312"/>
          <w:b w:val="0"/>
          <w:bCs w:val="0"/>
          <w:color w:val="auto"/>
          <w:sz w:val="32"/>
          <w:szCs w:val="32"/>
          <w:highlight w:val="none"/>
          <w:lang w:val="en-US" w:eastAsia="zh-CN"/>
        </w:rPr>
        <w:t>9</w:t>
      </w:r>
      <w:r>
        <w:rPr>
          <w:rFonts w:hint="eastAsia" w:ascii="Times New Roman" w:hAnsi="Times New Roman" w:eastAsia="仿宋_GB2312" w:cs="仿宋_GB2312"/>
          <w:b w:val="0"/>
          <w:bCs w:val="0"/>
          <w:color w:val="auto"/>
          <w:sz w:val="32"/>
          <w:szCs w:val="32"/>
          <w:highlight w:val="none"/>
        </w:rPr>
        <w:t>月</w:t>
      </w:r>
      <w:r>
        <w:rPr>
          <w:rFonts w:hint="eastAsia" w:ascii="Times New Roman" w:hAnsi="Times New Roman" w:eastAsia="仿宋_GB2312"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color w:val="auto"/>
          <w:sz w:val="32"/>
          <w:szCs w:val="32"/>
          <w:highlight w:val="none"/>
        </w:rPr>
        <w:t>（星期</w:t>
      </w:r>
      <w:r>
        <w:rPr>
          <w:rFonts w:hint="eastAsia" w:ascii="Times New Roman" w:hAnsi="Times New Roman" w:eastAsia="仿宋_GB2312" w:cs="仿宋_GB2312"/>
          <w:color w:val="auto"/>
          <w:sz w:val="32"/>
          <w:szCs w:val="32"/>
          <w:highlight w:val="none"/>
          <w:lang w:eastAsia="zh-CN"/>
        </w:rPr>
        <w:t>二</w:t>
      </w:r>
      <w:r>
        <w:rPr>
          <w:rFonts w:hint="eastAsia" w:ascii="Times New Roman" w:hAnsi="Times New Roman" w:eastAsia="仿宋_GB2312" w:cs="仿宋_GB2312"/>
          <w:color w:val="auto"/>
          <w:sz w:val="32"/>
          <w:szCs w:val="32"/>
          <w:highlight w:val="none"/>
        </w:rPr>
        <w:t>）</w:t>
      </w:r>
    </w:p>
    <w:p w14:paraId="63DC0963">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地点：长春规划馆</w:t>
      </w:r>
    </w:p>
    <w:p w14:paraId="43C1EE8A">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主题：“以数赋能 乘数而上”（待定）</w:t>
      </w:r>
    </w:p>
    <w:p w14:paraId="1BBC5B67">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参与对象：邀请各行业企业、数字化领域企业、数字化行业专家、相关嘉宾参加活动</w:t>
      </w:r>
    </w:p>
    <w:p w14:paraId="7A35426A">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形式：现场组织+线上同步直播</w:t>
      </w:r>
    </w:p>
    <w:p w14:paraId="580E170A">
      <w:pPr>
        <w:pStyle w:val="8"/>
        <w:keepNext w:val="0"/>
        <w:keepLines w:val="0"/>
        <w:pageBreakBefore w:val="0"/>
        <w:widowControl w:val="0"/>
        <w:numPr>
          <w:ilvl w:val="0"/>
          <w:numId w:val="6"/>
        </w:numPr>
        <w:kinsoku/>
        <w:wordWrap/>
        <w:overflowPunct/>
        <w:topLinePunct w:val="0"/>
        <w:autoSpaceDE/>
        <w:autoSpaceDN/>
        <w:bidi w:val="0"/>
        <w:adjustRightInd w:val="0"/>
        <w:snapToGrid w:val="0"/>
        <w:spacing w:line="600" w:lineRule="exact"/>
        <w:ind w:left="640" w:firstLineChars="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第二期沙龙活动</w:t>
      </w:r>
    </w:p>
    <w:p w14:paraId="0C9079D4">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月27日（星期</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p>
    <w:p w14:paraId="2CD57890">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地点：长春规划馆</w:t>
      </w:r>
    </w:p>
    <w:p w14:paraId="142CA970">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主题：“以数赋能 乘数而上”（待定）</w:t>
      </w:r>
    </w:p>
    <w:p w14:paraId="7B013374">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参与对象：邀请数字化领域企业、数字化行业专家、相关嘉宾参加活动</w:t>
      </w:r>
    </w:p>
    <w:p w14:paraId="110A0912">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形式：现场组织+线上同步直播</w:t>
      </w:r>
    </w:p>
    <w:p w14:paraId="36C63757">
      <w:pPr>
        <w:pStyle w:val="8"/>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优秀项目路演</w:t>
      </w:r>
    </w:p>
    <w:p w14:paraId="0B7EC2EB">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时间：9月27日（星期五）</w:t>
      </w:r>
    </w:p>
    <w:p w14:paraId="7F9C5217">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地点：长春规划馆</w:t>
      </w:r>
    </w:p>
    <w:p w14:paraId="0AD50FEC">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参与对象：邀请获奖项目方、优势数字化项目及产品遴选企业、长兴基金及相关创投机构、相关嘉宾参加活动</w:t>
      </w:r>
    </w:p>
    <w:p w14:paraId="505C5DA5">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形式：现场组织+线上同步直播</w:t>
      </w:r>
    </w:p>
    <w:p w14:paraId="4D97B1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评审</w:t>
      </w:r>
      <w:r>
        <w:rPr>
          <w:rFonts w:hint="eastAsia" w:ascii="Times New Roman" w:hAnsi="Times New Roman" w:eastAsia="黑体" w:cs="Times New Roman"/>
          <w:sz w:val="32"/>
          <w:szCs w:val="32"/>
        </w:rPr>
        <w:t>原则</w:t>
      </w:r>
    </w:p>
    <w:p w14:paraId="11E323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创新性：作品应体现对数据要素应用的独特见解和创新思维，能够提出新颖的数据应用方案或解决方案。</w:t>
      </w:r>
    </w:p>
    <w:p w14:paraId="277624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实用性：作品应紧密结合吉林省产业发展实际，具有明确的应用场景和市场需求，能够解决实际问题并带来实际效益。</w:t>
      </w:r>
    </w:p>
    <w:p w14:paraId="0FF1CA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技术性：作品应展示先进的数据处理、分析、挖掘和应用技术，体现较高的技术水平和实现能力。</w:t>
      </w:r>
    </w:p>
    <w:p w14:paraId="6C3F58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可持续性：作品应考虑数据应用的长期效益和可持续性，包括数据资源的有效利用、数据安全与隐私保护等方面。</w:t>
      </w:r>
    </w:p>
    <w:p w14:paraId="604A00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、奖项设置</w:t>
      </w:r>
    </w:p>
    <w:p w14:paraId="35985CF8">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分赛设置一、二、三等奖，其中一等奖2名、二等奖3名、三等奖5名，优秀奖20名。颁发奖牌、证书。优秀获奖作品推荐参加全国总决赛。</w:t>
      </w:r>
    </w:p>
    <w:p w14:paraId="03EDA4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sz w:val="32"/>
          <w:szCs w:val="32"/>
        </w:rPr>
      </w:pPr>
    </w:p>
    <w:p w14:paraId="79F57B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联系方式</w:t>
      </w:r>
    </w:p>
    <w:p w14:paraId="1A40CA0B">
      <w:pPr>
        <w:pStyle w:val="9"/>
        <w:keepNext w:val="0"/>
        <w:keepLines w:val="0"/>
        <w:pageBreakBefore w:val="0"/>
        <w:widowControl w:val="0"/>
        <w:kinsoku/>
        <w:wordWrap/>
        <w:overflowPunct/>
        <w:topLinePunct w:val="0"/>
        <w:autoSpaceDE/>
        <w:autoSpaceDN/>
        <w:bidi w:val="0"/>
        <w:spacing w:before="0" w:after="0" w:line="600" w:lineRule="exact"/>
        <w:ind w:firstLine="640"/>
        <w:textAlignment w:val="auto"/>
        <w:rPr>
          <w:rFonts w:ascii="Times New Roman" w:hAnsi="Times New Roman" w:eastAsia="楷体" w:cs="楷体"/>
          <w:sz w:val="32"/>
          <w:szCs w:val="32"/>
        </w:rPr>
      </w:pPr>
      <w:r>
        <w:rPr>
          <w:rFonts w:hint="eastAsia" w:ascii="Times New Roman" w:hAnsi="Times New Roman" w:eastAsia="楷体" w:cs="楷体"/>
          <w:sz w:val="32"/>
          <w:szCs w:val="32"/>
        </w:rPr>
        <w:t>（一）吉林省政务服务和数字化建设管理局数字经济处</w:t>
      </w:r>
    </w:p>
    <w:p w14:paraId="4535C7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联系方式：韩硕，</w:t>
      </w:r>
      <w:r>
        <w:rPr>
          <w:rFonts w:hint="eastAsia" w:ascii="Times New Roman" w:hAnsi="Times New Roman" w:eastAsia="仿宋_GB2312" w:cs="Times New Roman"/>
          <w:sz w:val="32"/>
          <w:szCs w:val="32"/>
          <w:lang w:val="en-US" w:eastAsia="zh-CN"/>
        </w:rPr>
        <w:t>李文佳</w:t>
      </w:r>
      <w:r>
        <w:rPr>
          <w:rFonts w:hint="eastAsia" w:ascii="Times New Roman" w:hAnsi="Times New Roman" w:eastAsia="仿宋_GB2312" w:cs="Times New Roman"/>
          <w:sz w:val="32"/>
          <w:szCs w:val="32"/>
        </w:rPr>
        <w:t xml:space="preserve"> 0431-80763032</w:t>
      </w:r>
    </w:p>
    <w:p w14:paraId="43A73EDB">
      <w:pPr>
        <w:pStyle w:val="9"/>
        <w:keepNext w:val="0"/>
        <w:keepLines w:val="0"/>
        <w:pageBreakBefore w:val="0"/>
        <w:widowControl w:val="0"/>
        <w:kinsoku/>
        <w:wordWrap/>
        <w:overflowPunct/>
        <w:topLinePunct w:val="0"/>
        <w:autoSpaceDE/>
        <w:autoSpaceDN/>
        <w:bidi w:val="0"/>
        <w:spacing w:before="0" w:after="0" w:line="600" w:lineRule="exact"/>
        <w:ind w:firstLine="640"/>
        <w:textAlignment w:val="auto"/>
        <w:rPr>
          <w:rFonts w:ascii="Times New Roman" w:hAnsi="Times New Roman" w:eastAsia="楷体" w:cs="楷体"/>
          <w:sz w:val="32"/>
          <w:szCs w:val="32"/>
        </w:rPr>
      </w:pPr>
      <w:r>
        <w:rPr>
          <w:rFonts w:hint="eastAsia" w:ascii="Times New Roman" w:hAnsi="Times New Roman" w:eastAsia="楷体" w:cs="楷体"/>
          <w:sz w:val="32"/>
          <w:szCs w:val="32"/>
        </w:rPr>
        <w:t>（二）长春市政务服务和数字化建设管理局数字经济处</w:t>
      </w:r>
    </w:p>
    <w:p w14:paraId="7CA5A246">
      <w:pPr>
        <w:keepNext w:val="0"/>
        <w:keepLines w:val="0"/>
        <w:pageBreakBefore w:val="0"/>
        <w:widowControl w:val="0"/>
        <w:kinsoku/>
        <w:wordWrap/>
        <w:overflowPunct/>
        <w:topLinePunct w:val="0"/>
        <w:autoSpaceDE/>
        <w:autoSpaceDN/>
        <w:bidi w:val="0"/>
        <w:adjustRightInd w:val="0"/>
        <w:snapToGrid w:val="0"/>
        <w:spacing w:line="600" w:lineRule="exact"/>
        <w:ind w:firstLine="608" w:firstLineChars="200"/>
        <w:textAlignment w:val="auto"/>
        <w:rPr>
          <w:rFonts w:ascii="Times New Roman" w:hAnsi="Times New Roman" w:eastAsia="仿宋_GB2312" w:cs="Times New Roman"/>
          <w:w w:val="95"/>
          <w:sz w:val="32"/>
          <w:szCs w:val="32"/>
        </w:rPr>
      </w:pPr>
      <w:r>
        <w:rPr>
          <w:rFonts w:hint="eastAsia" w:ascii="Times New Roman" w:hAnsi="Times New Roman" w:eastAsia="仿宋_GB2312" w:cs="Times New Roman"/>
          <w:w w:val="95"/>
          <w:sz w:val="32"/>
          <w:szCs w:val="32"/>
        </w:rPr>
        <w:t>联系方式：乔振华，冷东宇0431-887799008，18686639352</w:t>
      </w:r>
    </w:p>
    <w:p w14:paraId="1C8FD4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p>
    <w:p w14:paraId="190358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2024年“数据要素×”大赛吉林省分赛赛题指南</w:t>
      </w:r>
    </w:p>
    <w:p w14:paraId="57F7E9A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p>
    <w:p w14:paraId="0BA640BE">
      <w:pPr>
        <w:pStyle w:val="9"/>
        <w:spacing w:before="0" w:after="0" w:line="576" w:lineRule="exact"/>
        <w:ind w:firstLine="0" w:firstLineChars="0"/>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6A659790">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5DDD98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微软雅黑" w:cs="Times New Roman"/>
          <w:sz w:val="44"/>
          <w:szCs w:val="44"/>
        </w:rPr>
      </w:pPr>
      <w:r>
        <w:rPr>
          <w:rFonts w:ascii="Times New Roman" w:hAnsi="Times New Roman" w:eastAsia="微软雅黑" w:cs="Times New Roman"/>
          <w:sz w:val="44"/>
          <w:szCs w:val="44"/>
        </w:rPr>
        <w:t>2024年“数据要素×”大赛</w:t>
      </w:r>
    </w:p>
    <w:p w14:paraId="13F386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微软雅黑" w:cs="Times New Roman"/>
          <w:sz w:val="44"/>
          <w:szCs w:val="44"/>
        </w:rPr>
      </w:pPr>
      <w:r>
        <w:rPr>
          <w:rFonts w:ascii="Times New Roman" w:hAnsi="Times New Roman" w:eastAsia="微软雅黑" w:cs="Times New Roman"/>
          <w:sz w:val="44"/>
          <w:szCs w:val="44"/>
        </w:rPr>
        <w:t>吉林省分赛赛题指南</w:t>
      </w:r>
    </w:p>
    <w:p w14:paraId="3EE243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lang w:val="en"/>
        </w:rPr>
      </w:pPr>
    </w:p>
    <w:p w14:paraId="51BDC1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lang w:val="en"/>
        </w:rPr>
        <w:t>赛道一：</w:t>
      </w:r>
      <w:r>
        <w:rPr>
          <w:rFonts w:hint="eastAsia" w:ascii="Times New Roman" w:hAnsi="Times New Roman" w:eastAsia="仿宋_GB2312"/>
          <w:b/>
          <w:bCs/>
          <w:sz w:val="32"/>
          <w:szCs w:val="32"/>
        </w:rPr>
        <w:t>先进制造业领域赛道</w:t>
      </w:r>
    </w:p>
    <w:p w14:paraId="0ED64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加快推动汽车、卫星、轨道交通等具有吉林特色的优势产业向先进制造业转型升级，对工业数据加强采集、分析与应用，加速工业企业“智改数转”。</w:t>
      </w:r>
    </w:p>
    <w:p w14:paraId="335DE811">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提升创新研发能力，推动制造高端化发展：数据驱动型创新研发模式，基于设计、仿真、实验、生产、运行等多维度数据实现产品研发和工艺创新，推动制造高端化发展。</w:t>
      </w:r>
    </w:p>
    <w:p w14:paraId="77F9314C">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提高工业制造决策科学性，降本提质增效：完善数据采集、管理、分析和利用，在生产制造和企业运营主要过程采用基于数据的科学决策，实现降低成本、提高质量、效益提升的多重目标。</w:t>
      </w:r>
    </w:p>
    <w:p w14:paraId="393F7114">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提升服务型制造能力：加强产品全生命周期数据采集，整合设计、生产、运行数据，增强高端化生产性服务能力，提升产品可靠性和运行性能，增强产品用户满意度。</w:t>
      </w:r>
    </w:p>
    <w:p w14:paraId="4113C7BF">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稳固产业链供应链，强化价值协同：促进产能、采购、库存、物流等不同制造环节，以及供应链上下游等数据共享和可信流通，探索协同设计、协同制造、协同服务等新模式，提高区域间制造资源配置效率，提升产业链、供应链稳定性。</w:t>
      </w:r>
    </w:p>
    <w:p w14:paraId="116E54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赛道二：现代农业领域赛道</w:t>
      </w:r>
    </w:p>
    <w:p w14:paraId="669A9D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立足吉林省农业全产业链发展优势，探索数据在农业生产、销售、物流等环节的创新应用，全力推动农业现代化建设提质提效。</w:t>
      </w:r>
    </w:p>
    <w:p w14:paraId="6AB27F25">
      <w:pPr>
        <w:pStyle w:val="8"/>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农业生产数智化水平提升：通过融合利用遥感、气象、土壤、农事作业、灾害、农作物病虫害、动物疫病、市场等各类数据，为农业生产经营主体和相关服务企业提供农业生产数智化场景支撑，提高粮食和重要农产品生产效率。</w:t>
      </w:r>
    </w:p>
    <w:p w14:paraId="2C1451C7">
      <w:pPr>
        <w:pStyle w:val="8"/>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促进农产品追溯管理能力提高：通过融合利用农产品的产地、生产、加工、质检等各种数据，支撑农产品追溯管理、精准营销。</w:t>
      </w:r>
    </w:p>
    <w:p w14:paraId="36FBBA52">
      <w:pPr>
        <w:pStyle w:val="8"/>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产业链数据融通创新能力提高：通过综合利用农产品生产、销售、加工等数据，为农业生产经营主体提供智慧种养、智慧捕捞、产销对接、疫病防治、行情信息、跨区作业、一站式采购、供应链金融等创新数据和信息服务。</w:t>
      </w:r>
    </w:p>
    <w:p w14:paraId="084A30C9">
      <w:pPr>
        <w:pStyle w:val="8"/>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促进培育以需定产新模式：通过融合分析应用农业和商贸流通数据，提升农产品供需匹配能力。</w:t>
      </w:r>
    </w:p>
    <w:p w14:paraId="220D0C30">
      <w:pPr>
        <w:pStyle w:val="8"/>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促进农业生产抗风险能力提高：通过综合利用产能、运输、加工、贸易、消费等数据，为农业生产经营主体在粮食、生猪、果蔬等重点领域，提供自然灾害、疫病传播、价格波动等农业监测预警服务。</w:t>
      </w:r>
    </w:p>
    <w:p w14:paraId="6664CC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赛道三：商贸流通领域赛道</w:t>
      </w:r>
    </w:p>
    <w:p w14:paraId="191A03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 xml:space="preserve">  依托数据要素利用提升商贸流通决策的科学性和精准性，利用人工智能、大数据分析等手段解决传统商贸流通中的难题，开拓新的业务模式。</w:t>
      </w:r>
    </w:p>
    <w:p w14:paraId="0256EA1D">
      <w:pPr>
        <w:pStyle w:val="8"/>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数据融合分析利用，增强产业协同效益：加强电商平台与各类商贸经营主体、相关服务企业深度融合，依托客流、消费行为、交通状况、人文特征等市场环境数据，打造集数据收集、分析、决策、精准推送和动态反馈的闭环消费生态；支持电子商务企业、国家电子商务示范基地、跨境电商产业园区、传统商贸流通企业加强数据融合，整合订单需求、物流、产能、供应链等数据，优化配置产业链资源；鼓励电子商务企业、商贸企业依托订单数量、订单类型、人口分布等数据，主动对接生产企业、产业集群，加强产销对接、精准推送。</w:t>
      </w:r>
    </w:p>
    <w:p w14:paraId="1EE05C9E">
      <w:pPr>
        <w:pStyle w:val="8"/>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实现新业态创新发展：拓展新消费，推进直播电商、即时电商等业态创新发展，支持各类商圈创新应用场景，打造特色品牌，培育数字生活消费方式。</w:t>
      </w:r>
    </w:p>
    <w:p w14:paraId="5E9AA821">
      <w:pPr>
        <w:pStyle w:val="8"/>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提高行业国际化服务能力与竞争力：通过交易、物流、支付等数据融合利用，提升跨境电商及相关企业供应链综合服务、跨境身份认证、全球供应链融资等能力，推动企业国际化发展。</w:t>
      </w:r>
    </w:p>
    <w:p w14:paraId="06DB05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赛道四：交通运输领域赛道</w:t>
      </w:r>
    </w:p>
    <w:p w14:paraId="78CA2A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通过数据分析优化交通流量，提高交通运输效率，加强交通安全与风险预测，提升用户出行体验，促进新能源交通工具的推广和应用，推动交通基础设施数字化转型升级和交通运输行业领域的数字化赋能。</w:t>
      </w:r>
    </w:p>
    <w:p w14:paraId="78C84F76">
      <w:pPr>
        <w:pStyle w:val="8"/>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货物运输贸易效能和便利性：融合地理空间、卫星遥感、北斗定位导航、气象等数据提升运输和贸易效能，降低处理复杂度和操作成本，提升运营效率；推进物流、结算、保险等货物贸易数据共享互认，促进贸易便利化。</w:t>
      </w:r>
    </w:p>
    <w:p w14:paraId="3AC30CD8">
      <w:pPr>
        <w:pStyle w:val="8"/>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提升客运效能、便利性和驾乘体验：融合跨领域多维度数据，提高旅客运输效能，提供高效、便利的出行服务，提升自驾驾驶员及公共交通乘客的出行体验。</w:t>
      </w:r>
    </w:p>
    <w:p w14:paraId="46E2169C">
      <w:pPr>
        <w:pStyle w:val="8"/>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提升交通运输安全：融合“两客一危”、营运车辆行为、事故统计等多维数据，提升交通运输安全管理水平；通过交通工具设施传感和数据采集，融合运输线路和空间数据，提升交通运输可靠性和安全性。</w:t>
      </w:r>
    </w:p>
    <w:p w14:paraId="34B68EC5">
      <w:pPr>
        <w:pStyle w:val="8"/>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自动驾驶创新发展：融合行驶习惯、车辆运行、环境感知、交通设施等多维数据，提升自动驾驶汽车技术水平、测试验证能力和汽车驾乘体验。</w:t>
      </w:r>
    </w:p>
    <w:p w14:paraId="42F6A542">
      <w:pPr>
        <w:pStyle w:val="8"/>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textAlignment w:val="auto"/>
        <w:outlineLvl w:val="2"/>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提升自驾出行服务水平： 融合高速公路运行、经济运行、产业链条等数据，开展面向出行用户的伴随式服务信息推送的模型分析，为出行用户提供更好服务；开展交通与旅游、交通与能源等的融合分析，推动公路交通融合发展。</w:t>
      </w:r>
    </w:p>
    <w:p w14:paraId="1A1D61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赛道五：金融服务领域赛道</w:t>
      </w:r>
    </w:p>
    <w:p w14:paraId="4F47C0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积极落实吉林省绿色金融发展战略，在依法合规的前提下，充分挖掘和利用数据资源，发挥数据在解决金融服务问题中的核心作用，融合大数据、人工智能、区块链等先进技术，推动金融服务的创新发展。</w:t>
      </w:r>
    </w:p>
    <w:p w14:paraId="786D0663">
      <w:pPr>
        <w:pStyle w:val="8"/>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提升实体经济金融服务水平： 在合规和风险可控前提下，融合利用科技、环保、工商、税务、气象、消费、医疗、社保、农业农村、水电气等多维数据，加强主体识别，完善信贷业务管理和保险产品设计及承保理赔服务，为企业尤其是中小企业提供优质高效的金融服务产品，助力实体经济提高资金使用效率、降低交易成本，引导更多资源要素向实体经济集聚。</w:t>
      </w:r>
    </w:p>
    <w:p w14:paraId="00E19559">
      <w:pPr>
        <w:pStyle w:val="8"/>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提高金融风险防控能力： 在依法安全合规前提下，推动金融信用数据和公共信用数据、商业信用数据共享共用和高效流通，融合分析金融市场、信贷资产、风险核查等多维数据，发挥金融科技和数据要素的驱动作用，强化资金用途监控和业务合规性审查，支撑提升金融机构反欺诈、反洗钱能力，提高风险监测和智能化预警水平。</w:t>
      </w:r>
    </w:p>
    <w:p w14:paraId="39832B98">
      <w:pPr>
        <w:pStyle w:val="8"/>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建立健全资本市场数据安全可信共享体系： 推进资本市场基础数据标准和监管数据标准制定，强化统筹数据授权使用和管理。推动市场主体登记、财政资金奖补、资质、财税、司法、征信、社保、环保、水电、不动产等各部委和地方涉企政务数据与资本市场的安全可信共享。</w:t>
      </w:r>
    </w:p>
    <w:p w14:paraId="3D6A6CAE">
      <w:pPr>
        <w:pStyle w:val="8"/>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强化数据在资本市场的应用： 加快数据资源整合运用，完善数据标准及核查验证模型。丰富企业数字档案，引入优质企业服务，完善企业画像、评价模型，为企业投融资对接、规范培育、辅导上市等多业务场景提供支持，提升企业投融资对接的精准性，稳步提升行业机构数字化水平，加强穿透式监管。</w:t>
      </w:r>
    </w:p>
    <w:p w14:paraId="0FE115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赛道六：科技创新领域赛道</w:t>
      </w:r>
    </w:p>
    <w:p w14:paraId="5A487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依托吉林省高等教育和科研资源，聚焦人工智能、大数据、云计算、物联网、区块链等新兴科技领域的数据应用与创新，激发科技创新的新思路、新方法和新模式，推动产业发展升级。</w:t>
      </w:r>
    </w:p>
    <w:p w14:paraId="12DC51EC">
      <w:pPr>
        <w:pStyle w:val="8"/>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鼓励科技数据汇聚共享： 鼓励科学数据汇聚共享，建设高质量语料库和基础科学数据库，推动科学数据有序开放共享，促进重大科技基础设施、重大科技项目等产生的各类科学数据有效汇聚、高效治理与互联互通，打造跨领域流通的科学数据协同服务网络，发展综合型、智能化、交互式等新型科学数据发现模式，推动科学数据有序开放共享，依托国家科学数据中心等平台强化拓展科学数据资源的场景应用。</w:t>
      </w:r>
    </w:p>
    <w:p w14:paraId="1AB6DC17">
      <w:pPr>
        <w:pStyle w:val="8"/>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支持科技大模型开发： 以科学数据支持大模型开发，面向基础科学、科学研究和产业升级，深入挖掘各类科学数据、科技文献和其他数据资源，支持开展人工智能大模型开发和训练，降低文献试错成本和物理实验成本，缩短科技产品研发周期，提升科研数字化水平。</w:t>
      </w:r>
    </w:p>
    <w:p w14:paraId="1FA177E7">
      <w:pPr>
        <w:pStyle w:val="8"/>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科学数据助力科学研究和技术创新： 对科学数据融合应用、深入挖掘，提供高质量科学数据资源与知识服务，助力探索未知领域，驱动科学创新发现。聚焦生物育种、新材料创制、药物研发等领域，以数智融合加速技术创新和产业升级。</w:t>
      </w:r>
    </w:p>
    <w:p w14:paraId="4DBB1C98">
      <w:pPr>
        <w:pStyle w:val="8"/>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科学数据加速探索科研新范式： 探索科研新范式，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14:paraId="4CFCAE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赛道七：文化旅游领域赛道</w:t>
      </w:r>
    </w:p>
    <w:p w14:paraId="0AEEE9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聚焦吉林省长白山、松花湖以及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这有山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雪饼猴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等生态人文旅游品牌，加强数字技术与文化旅游的融合创新，推出应用效果显著、具有推广价值的数字文旅优秀产品、服务和优秀解决方案，推动文化旅游与其他产业的融合发展。</w:t>
      </w:r>
    </w:p>
    <w:p w14:paraId="189ABB05">
      <w:pPr>
        <w:pStyle w:val="8"/>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文化创意产品发展：推动文物、古籍、美术、戏曲剧种、非物质文化遗产、民族民间文艺等数据资源依法开放共享和交易流通，支持文化创意、旅游、展览等领域的经营主体加强数据开发利用，培育具有中国文化特色的产品和品牌。</w:t>
      </w:r>
    </w:p>
    <w:p w14:paraId="5D5508BC">
      <w:pPr>
        <w:pStyle w:val="8"/>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文物数字化保护能力：以世界文化遗产、全国重点文物保护单位、馆藏一级文物等为重点，推进相关文物信息高清数据采集和展示利用。促进文物病害数据、保护修复数据、安全监管数据、文物流通数据融合共享，支持实现文物保护修复、监测预警、精准管理、应急处置、阐释传播等功能。</w:t>
      </w:r>
    </w:p>
    <w:p w14:paraId="6FEA50C4">
      <w:pPr>
        <w:pStyle w:val="8"/>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公共文化服务数字化水平：整合汇聚文物、古籍、美术、地方戏曲剧种、民族民间文艺等文化资源，丰富公共文化数据库。推动公共图书馆、文化馆、博物馆、美术馆、非遗馆等加强公共数字文化资源建设，增强公共文化数字内容的供给能力。依托市场化机制开发文化大模型。</w:t>
      </w:r>
    </w:p>
    <w:p w14:paraId="57A6D122">
      <w:pPr>
        <w:pStyle w:val="8"/>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智慧旅游服务水平：支持旅游经营主体共享气象、交通等数据，在合法合规前提下构建客群画像、城市画像等，优化旅游配套服务、一站式出行服务。鼓励基于数据的定制、体验、智能、互动等消费新模式发展，打造沉浸式旅游体验新场景。提升旅游治理能力，支持文化和旅游场所共享公安、交通、气象、证照等数据，支撑“免证”购票、集聚人群监测预警、应急救援等。</w:t>
      </w:r>
    </w:p>
    <w:p w14:paraId="71F66A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赛道八：医疗健康领域赛道</w:t>
      </w:r>
    </w:p>
    <w:p w14:paraId="75DBF6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结合吉林省优质医疗资源和发展需要，加快数字技术在医疗健康领域融合应用，推动医疗健康服务创新发展，提升医疗健康服务质量和普惠水平。</w:t>
      </w:r>
    </w:p>
    <w:p w14:paraId="24A84CB9">
      <w:pPr>
        <w:pStyle w:val="8"/>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医疗服务便捷性：推进电子病历共享，检查检验结果数据标准统一和共享互认。有序释放健康医疗数据价值，完善个人健康数据档案，融合体检、就诊、疾控等数据，创新基于数据驱动的职业病监测、公共卫生事件预警等公共服务模式。</w:t>
      </w:r>
    </w:p>
    <w:p w14:paraId="3E3E33A5">
      <w:pPr>
        <w:pStyle w:val="8"/>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药品和医疗产品创新研发：通过融合临床医疗、基因科学、公共卫生、健康管理等多元数据，借助深度挖掘、人工智能分析与跨界融合等手段，提升新药、医疗设备、诊疗服务和保健服务的创新研发效率和效果。</w:t>
      </w:r>
    </w:p>
    <w:p w14:paraId="7E0202AA">
      <w:pPr>
        <w:pStyle w:val="8"/>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提升中医药发展水平：加强中医药预防、治疗、康复等健康服务全流程的多源数据融合，支撑名老中医传承创新，驱动中医药服务流程再造，提升中医药诊疗设备智能化应用，推进中医药高质量发展。</w:t>
      </w:r>
    </w:p>
    <w:p w14:paraId="62AA8FD9">
      <w:pPr>
        <w:pStyle w:val="8"/>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便民服务水平：便捷医药服务理赔结算，推动医保便民服务，增强群众获得感幸福感安全感。加强医保数据在智慧医保、数据治理、数据安全、多层次医疗保障体系建设，以及社会治理、民生保障等领域的赋能作用。提升医疗保险服务水平，促进基本医保与商业健康保险协同发展。</w:t>
      </w:r>
    </w:p>
    <w:p w14:paraId="20D48E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赛道九：应急管理领域赛道</w:t>
      </w:r>
    </w:p>
    <w:p w14:paraId="6EB6A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在防汛救灾、两客一危、地震预警、火灾防范等灾害应急处置工作中，不断提升数字化管理水平，探索将大数据、人工智能、数字孪生等先进技术融入应急管理各领域、各环节，强化应急保障能力。</w:t>
      </w:r>
    </w:p>
    <w:p w14:paraId="0332666A">
      <w:pPr>
        <w:pStyle w:val="8"/>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安全生产监管能力：围绕矿山、危险化学品等高危行业安全生产监管需求，充分发挥电力、通信、遥感、消防等数据要素在提升实时监测与精准监管能力中的融合应用价值，实现对私挖盗采、明停暗开等行为的精准监管和城市火灾的智能监测。体现数据要素在安全生产责任保险评估模型构建和新险种开发方面的重要作用，以数据要素价值化提高安全生产风险评估的精准化和科学化。</w:t>
      </w:r>
    </w:p>
    <w:p w14:paraId="29E4E057">
      <w:pPr>
        <w:pStyle w:val="8"/>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自然灾害监测评估能力：充分发挥公共数据资源要素价值，整合利用铁塔、电力、气象等公共数据，全面赋能自然灾害灾情监测、预警、研判、评估等全过程管理，提升自然灾害风险管理数据分析、仿真与建模水平。针对地震风险的监测评估，强化地震活动、地壳形变、地下流体等监测数据的融合分析，提升地震预测预警水平。</w:t>
      </w:r>
    </w:p>
    <w:p w14:paraId="06988487">
      <w:pPr>
        <w:pStyle w:val="8"/>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应急协调共享能力：针对跨区域一体化应急管理面临的新形势、新要求，加强应急管理事件、人员队伍、物资装备、安全生产经营许可等相关数据要素跨区域共享使用，发挥数据要素对应急管理监管执法、现场处置和协同联动的赋能作用。</w:t>
      </w:r>
    </w:p>
    <w:p w14:paraId="6A87ED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赛道十：气象服务领域赛</w:t>
      </w:r>
      <w:r>
        <w:rPr>
          <w:rFonts w:hint="eastAsia" w:ascii="Times New Roman" w:hAnsi="Times New Roman" w:eastAsia="仿宋_GB2312" w:cs="Times New Roman"/>
          <w:b/>
          <w:bCs/>
          <w:sz w:val="32"/>
          <w:szCs w:val="32"/>
        </w:rPr>
        <w:t>道</w:t>
      </w:r>
    </w:p>
    <w:p w14:paraId="71E9E6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围绕吉林省</w:t>
      </w:r>
      <w:r>
        <w:rPr>
          <w:rFonts w:ascii="Times New Roman" w:hAnsi="Times New Roman" w:eastAsia="仿宋_GB2312" w:cs="Times New Roman"/>
          <w:sz w:val="32"/>
          <w:szCs w:val="32"/>
        </w:rPr>
        <w:t>建设气象强省</w:t>
      </w:r>
      <w:r>
        <w:rPr>
          <w:rFonts w:hint="eastAsia" w:ascii="Times New Roman" w:hAnsi="Times New Roman" w:eastAsia="仿宋_GB2312" w:cs="Times New Roman"/>
          <w:sz w:val="32"/>
          <w:szCs w:val="32"/>
        </w:rPr>
        <w:t>战略</w:t>
      </w:r>
      <w:r>
        <w:rPr>
          <w:rFonts w:ascii="Times New Roman" w:hAnsi="Times New Roman" w:eastAsia="仿宋_GB2312" w:cs="Times New Roman"/>
          <w:sz w:val="32"/>
          <w:szCs w:val="32"/>
        </w:rPr>
        <w:t>目标，强化科技创新</w:t>
      </w:r>
      <w:r>
        <w:rPr>
          <w:rFonts w:hint="eastAsia" w:ascii="Times New Roman" w:hAnsi="Times New Roman" w:eastAsia="仿宋_GB2312" w:cs="Times New Roman"/>
          <w:sz w:val="32"/>
          <w:szCs w:val="32"/>
        </w:rPr>
        <w:t>，提升气象服务在推动吉林高质量发展中的支撑作用。通过科技创新的引领和驱动，</w:t>
      </w:r>
      <w:r>
        <w:rPr>
          <w:rFonts w:ascii="Times New Roman" w:hAnsi="Times New Roman" w:eastAsia="仿宋_GB2312" w:cs="Times New Roman"/>
          <w:sz w:val="32"/>
          <w:szCs w:val="32"/>
        </w:rPr>
        <w:t>为吉林的经济社会发展提供更加坚实的气象保障。</w:t>
      </w:r>
    </w:p>
    <w:p w14:paraId="1B21557D">
      <w:pPr>
        <w:pStyle w:val="8"/>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发气象数据决策新模式：强化气象数据与经济社会、生态环境、自然资源、农业农村等数据融合应用，打造气候变化风险识别、风险评估、风险预警、风险转移等智能决策模式。深化气象数据与城市规划、重大工程等建设数据融合应用，降低不利气象条件对规划和工程的影响。推动气象数据在风能、太阳能等企业选址布局、设备运维、能源调度等深度应用，实现新能源企业降本增效。</w:t>
      </w:r>
    </w:p>
    <w:p w14:paraId="76EEB1BC">
      <w:pPr>
        <w:pStyle w:val="8"/>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展气象数据产品新服务：聚焦农业、物流、水利、电力、能源等领域气候风险防范需求，汇聚多源气候数据与行业数据，运用统计分析、机器学习等方法开发“天气指数-灾害损失”评估模型。基于“天气指数-灾害损失”评估模型按需开发各种天气指数保险产品及天气衍生品，推动其落地应用于保险、期货等金融行业。深化气象数据分析，挖掘温室气体排放的源头，识别和评估潜在气候风险及其对经济活动的影响，开发相应的气候投融资产品，实现气候投融资数智服务。</w:t>
      </w:r>
    </w:p>
    <w:p w14:paraId="1C9E80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赛道十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：城市治理领域赛道</w:t>
      </w:r>
    </w:p>
    <w:p w14:paraId="21E8C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围绕数字吉林发展规划，协同推进城市治理数字化，在一网统管、一网协同、一网通办方面加速数据融合，建立共享、共治、共惠的智能城市管理体系，全面提升城市治理能力和治理水平。</w:t>
      </w:r>
    </w:p>
    <w:p w14:paraId="7D5EF9C1">
      <w:pPr>
        <w:pStyle w:val="8"/>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城市管理协同化水平：提高城市管理数据共享与融通应用实效，推动城市人、地、事、物、情、组织等多维度数据融通，在公共卫生、交通管理、公共安全、生态环境、基层治理、体育赛事等领域场景投入应用，基于数据融通、业务协同等实现具体领域或城市综合管理的态势实时感知、风险智能研判、及时协同处置，优化城市管理方式。</w:t>
      </w:r>
    </w:p>
    <w:p w14:paraId="28689DF7">
      <w:pPr>
        <w:pStyle w:val="8"/>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城市发展决策科学性：综合利用城市时空基础、资源调查、规划管控、工程建设项目、物联网感知等数据，开展综合分析与研判，助力城市规划、建设、管理、服务等策略精细化、智能化，为城市发展关键事项决策提供基于数据的科学支撑。</w:t>
      </w:r>
    </w:p>
    <w:p w14:paraId="2CD6FD8A">
      <w:pPr>
        <w:pStyle w:val="8"/>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公共服务普惠性：体现数据要素在深入推动就业、社保、健康、卫生、医疗、救助、养老、助残、托育等公共服务实现便捷化、普惠化和智能化过程中的放大、叠加、倍增作用，切实满足人民群众对高质量公共服务的迫切需求，体现基于数据要素的公共服务新应用、新产品、新模式，及其创造出的显著的经济与社会效益。</w:t>
      </w:r>
    </w:p>
    <w:p w14:paraId="7127B12A">
      <w:pPr>
        <w:pStyle w:val="8"/>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强化区域协同治理：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14:paraId="1224ED66">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赛道十二：绿色低碳领域赛道</w:t>
      </w:r>
    </w:p>
    <w:p w14:paraId="2AB2F071">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聚焦氢基绿色能源、氢能装备制造、氢能交通、氢储能等重点领域，持续推动能源产业数字化、绿色化转型，抢先布局新型储能产业新赛道，为吉林全面振兴取得新突破提供有力支撑。</w:t>
      </w:r>
    </w:p>
    <w:p w14:paraId="13975922">
      <w:pPr>
        <w:pStyle w:val="9"/>
        <w:keepNext w:val="0"/>
        <w:keepLines w:val="0"/>
        <w:pageBreakBefore w:val="0"/>
        <w:widowControl w:val="0"/>
        <w:numPr>
          <w:ilvl w:val="0"/>
          <w:numId w:val="19"/>
        </w:numPr>
        <w:kinsoku/>
        <w:wordWrap/>
        <w:overflowPunct/>
        <w:topLinePunct w:val="0"/>
        <w:autoSpaceDE/>
        <w:autoSpaceDN/>
        <w:bidi w:val="0"/>
        <w:adjustRightInd/>
        <w:snapToGrid/>
        <w:spacing w:before="0" w:after="0"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优化生态环境治理服务：面向气象和水文耦合预报、受灾分析、河湖岸线监测、突发水事件应急处置、重污染天气应对、城市水环境精细化管理、环境风险评估环境污染责任保险设计和绿色信贷等领域现实需求，通过对生态环境及气象、水利、交通、电力等相关领域数据资源的融合创新应用，支撑生态环境精准化治理服务。</w:t>
      </w:r>
    </w:p>
    <w:p w14:paraId="784E8296">
      <w:pPr>
        <w:pStyle w:val="9"/>
        <w:keepNext w:val="0"/>
        <w:keepLines w:val="0"/>
        <w:pageBreakBefore w:val="0"/>
        <w:widowControl w:val="0"/>
        <w:numPr>
          <w:ilvl w:val="0"/>
          <w:numId w:val="19"/>
        </w:numPr>
        <w:kinsoku/>
        <w:wordWrap/>
        <w:overflowPunct/>
        <w:topLinePunct w:val="0"/>
        <w:autoSpaceDE/>
        <w:autoSpaceDN/>
        <w:bidi w:val="0"/>
        <w:adjustRightInd/>
        <w:snapToGrid/>
        <w:spacing w:before="0" w:after="0"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促进用能效率提升：强化工业生产过程中订单、排产、用电等制造、能源数据的融合创新应用，打造能耗预测、多能互补、梯度定价等创新场景，支撑生产用能效率提升。</w:t>
      </w:r>
    </w:p>
    <w:p w14:paraId="269B5D05">
      <w:pPr>
        <w:pStyle w:val="9"/>
        <w:keepNext w:val="0"/>
        <w:keepLines w:val="0"/>
        <w:pageBreakBefore w:val="0"/>
        <w:widowControl w:val="0"/>
        <w:numPr>
          <w:ilvl w:val="0"/>
          <w:numId w:val="19"/>
        </w:numPr>
        <w:kinsoku/>
        <w:wordWrap/>
        <w:overflowPunct/>
        <w:topLinePunct w:val="0"/>
        <w:autoSpaceDE/>
        <w:autoSpaceDN/>
        <w:bidi w:val="0"/>
        <w:adjustRightInd/>
        <w:snapToGrid/>
        <w:spacing w:before="0" w:after="0"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促进资源循环利用：强化对固体废物收集、转移、利用、处置等各环节数据资源的融合创新应用，提升产废、运输、资源化利用各环节效率，促进固废、危废资源化利用。</w:t>
      </w:r>
    </w:p>
    <w:p w14:paraId="7414428E">
      <w:pPr>
        <w:pStyle w:val="9"/>
        <w:keepNext w:val="0"/>
        <w:keepLines w:val="0"/>
        <w:pageBreakBefore w:val="0"/>
        <w:widowControl w:val="0"/>
        <w:numPr>
          <w:ilvl w:val="0"/>
          <w:numId w:val="19"/>
        </w:numPr>
        <w:kinsoku/>
        <w:wordWrap/>
        <w:overflowPunct/>
        <w:topLinePunct w:val="0"/>
        <w:autoSpaceDE/>
        <w:autoSpaceDN/>
        <w:bidi w:val="0"/>
        <w:adjustRightInd/>
        <w:snapToGrid/>
        <w:spacing w:before="0" w:after="0" w:line="600" w:lineRule="exact"/>
        <w:ind w:firstLine="64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促进生产减排降碳：通过对行业或产品碳排放数据监测、统计、核算，开展产品碳足迹测算与评价，服务行业、企业、生产过程减排降碳，提升碳排放管理水平。</w:t>
      </w:r>
    </w:p>
    <w:p w14:paraId="1CFB412B">
      <w:pPr>
        <w:keepNext w:val="0"/>
        <w:keepLines w:val="0"/>
        <w:pageBreakBefore w:val="0"/>
        <w:widowControl/>
        <w:tabs>
          <w:tab w:val="left" w:pos="1267"/>
        </w:tabs>
        <w:kinsoku/>
        <w:wordWrap/>
        <w:overflowPunct/>
        <w:topLinePunct w:val="0"/>
        <w:autoSpaceDE/>
        <w:autoSpaceDN/>
        <w:bidi w:val="0"/>
        <w:adjustRightInd/>
        <w:snapToGrid/>
        <w:spacing w:line="640" w:lineRule="exact"/>
        <w:jc w:val="left"/>
        <w:textAlignment w:val="auto"/>
        <w:rPr>
          <w:rFonts w:hint="eastAsia" w:ascii="Times New Roman" w:hAnsi="Times New Roman" w:eastAsia="仿宋_GB2312" w:cs="Times New Roman"/>
          <w:sz w:val="32"/>
          <w:szCs w:val="32"/>
        </w:rPr>
      </w:pPr>
    </w:p>
    <w:p w14:paraId="0B84844D">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微软雅黑" w:cs="Times New Roman"/>
          <w:sz w:val="44"/>
          <w:szCs w:val="44"/>
          <w:lang w:val="en-US" w:eastAsia="zh-CN"/>
        </w:rPr>
      </w:pPr>
    </w:p>
    <w:sectPr>
      <w:pgSz w:w="11906" w:h="16838"/>
      <w:pgMar w:top="2098" w:right="1474" w:bottom="1984" w:left="1587" w:header="851" w:footer="992"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FD8AFF-4408-4CF5-9499-EF33152E08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D5948D-4CBA-443A-A04D-6AA408A1A213}"/>
  </w:font>
  <w:font w:name="楷体_GB2312">
    <w:altName w:val="楷体"/>
    <w:panose1 w:val="02010609030101010101"/>
    <w:charset w:val="86"/>
    <w:family w:val="modern"/>
    <w:pitch w:val="default"/>
    <w:sig w:usb0="00000000" w:usb1="00000000" w:usb2="00000000" w:usb3="00000000" w:csb0="00040000" w:csb1="00000000"/>
    <w:embedRegular r:id="rId3" w:fontKey="{F3B67FD4-076B-45E4-9B94-71050E11DE3C}"/>
  </w:font>
  <w:font w:name="方正小标宋_GBK">
    <w:altName w:val="微软雅黑"/>
    <w:panose1 w:val="02000000000000000000"/>
    <w:charset w:val="86"/>
    <w:family w:val="script"/>
    <w:pitch w:val="default"/>
    <w:sig w:usb0="00000000" w:usb1="00000000" w:usb2="00000000" w:usb3="00000000" w:csb0="00040000" w:csb1="00000000"/>
    <w:embedRegular r:id="rId4" w:fontKey="{D5C7CF68-D322-4EC4-93DE-A5729078A9BD}"/>
  </w:font>
  <w:font w:name="微软雅黑">
    <w:panose1 w:val="020B0503020204020204"/>
    <w:charset w:val="86"/>
    <w:family w:val="auto"/>
    <w:pitch w:val="default"/>
    <w:sig w:usb0="80000287" w:usb1="2ACF3C50" w:usb2="00000016" w:usb3="00000000" w:csb0="0004001F" w:csb1="00000000"/>
    <w:embedRegular r:id="rId5" w:fontKey="{6DD64ED7-CAF9-467F-B3A6-0A6BDBAD9C13}"/>
  </w:font>
  <w:font w:name="仿宋_GB2312">
    <w:altName w:val="仿宋"/>
    <w:panose1 w:val="02010609030101010101"/>
    <w:charset w:val="86"/>
    <w:family w:val="auto"/>
    <w:pitch w:val="default"/>
    <w:sig w:usb0="00000000" w:usb1="00000000" w:usb2="00000000" w:usb3="00000000" w:csb0="00040000" w:csb1="00000000"/>
    <w:embedRegular r:id="rId6" w:fontKey="{3B189105-1FBE-480B-8052-1AB380C84D26}"/>
  </w:font>
  <w:font w:name="楷体">
    <w:panose1 w:val="02010609060101010101"/>
    <w:charset w:val="86"/>
    <w:family w:val="auto"/>
    <w:pitch w:val="default"/>
    <w:sig w:usb0="800002BF" w:usb1="38CF7CFA" w:usb2="00000016" w:usb3="00000000" w:csb0="00040001" w:csb1="00000000"/>
    <w:embedRegular r:id="rId7" w:fontKey="{34FBF837-5E2F-4B0D-B091-74049DFB79C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019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7C8E0">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907C8E0">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0"/>
      </w:pPr>
    </w:lvl>
  </w:abstractNum>
  <w:abstractNum w:abstractNumId="1">
    <w:nsid w:val="00000002"/>
    <w:multiLevelType w:val="singleLevel"/>
    <w:tmpl w:val="00000002"/>
    <w:lvl w:ilvl="0" w:tentative="0">
      <w:start w:val="1"/>
      <w:numFmt w:val="decimal"/>
      <w:suff w:val="nothing"/>
      <w:lvlText w:val="%1．"/>
      <w:lvlJc w:val="left"/>
      <w:pPr>
        <w:ind w:left="0" w:firstLine="0"/>
      </w:pPr>
    </w:lvl>
  </w:abstractNum>
  <w:abstractNum w:abstractNumId="2">
    <w:nsid w:val="00000003"/>
    <w:multiLevelType w:val="singleLevel"/>
    <w:tmpl w:val="00000003"/>
    <w:lvl w:ilvl="0" w:tentative="0">
      <w:start w:val="1"/>
      <w:numFmt w:val="decimal"/>
      <w:suff w:val="nothing"/>
      <w:lvlText w:val="%1．"/>
      <w:lvlJc w:val="left"/>
      <w:pPr>
        <w:ind w:left="0" w:firstLine="0"/>
      </w:pPr>
    </w:lvl>
  </w:abstractNum>
  <w:abstractNum w:abstractNumId="3">
    <w:nsid w:val="00000004"/>
    <w:multiLevelType w:val="singleLevel"/>
    <w:tmpl w:val="00000004"/>
    <w:lvl w:ilvl="0" w:tentative="0">
      <w:start w:val="1"/>
      <w:numFmt w:val="decimal"/>
      <w:suff w:val="nothing"/>
      <w:lvlText w:val="%1．"/>
      <w:lvlJc w:val="left"/>
      <w:pPr>
        <w:ind w:left="0" w:firstLine="0"/>
      </w:pPr>
    </w:lvl>
  </w:abstractNum>
  <w:abstractNum w:abstractNumId="4">
    <w:nsid w:val="00000005"/>
    <w:multiLevelType w:val="singleLevel"/>
    <w:tmpl w:val="00000005"/>
    <w:lvl w:ilvl="0" w:tentative="0">
      <w:start w:val="1"/>
      <w:numFmt w:val="decimal"/>
      <w:suff w:val="nothing"/>
      <w:lvlText w:val="%1．"/>
      <w:lvlJc w:val="left"/>
      <w:pPr>
        <w:ind w:left="0" w:firstLine="0"/>
      </w:pPr>
    </w:lvl>
  </w:abstractNum>
  <w:abstractNum w:abstractNumId="5">
    <w:nsid w:val="00000006"/>
    <w:multiLevelType w:val="singleLevel"/>
    <w:tmpl w:val="00000006"/>
    <w:lvl w:ilvl="0" w:tentative="0">
      <w:start w:val="1"/>
      <w:numFmt w:val="decimal"/>
      <w:suff w:val="nothing"/>
      <w:lvlText w:val="%1．"/>
      <w:lvlJc w:val="left"/>
      <w:pPr>
        <w:ind w:left="0" w:firstLine="0"/>
      </w:pPr>
    </w:lvl>
  </w:abstractNum>
  <w:abstractNum w:abstractNumId="6">
    <w:nsid w:val="00000007"/>
    <w:multiLevelType w:val="singleLevel"/>
    <w:tmpl w:val="00000007"/>
    <w:lvl w:ilvl="0" w:tentative="0">
      <w:start w:val="1"/>
      <w:numFmt w:val="decimal"/>
      <w:suff w:val="nothing"/>
      <w:lvlText w:val="%1．"/>
      <w:lvlJc w:val="left"/>
      <w:pPr>
        <w:ind w:left="0" w:firstLine="0"/>
      </w:pPr>
    </w:lvl>
  </w:abstractNum>
  <w:abstractNum w:abstractNumId="7">
    <w:nsid w:val="00000008"/>
    <w:multiLevelType w:val="singleLevel"/>
    <w:tmpl w:val="00000008"/>
    <w:lvl w:ilvl="0" w:tentative="0">
      <w:start w:val="1"/>
      <w:numFmt w:val="decimal"/>
      <w:suff w:val="nothing"/>
      <w:lvlText w:val="%1．"/>
      <w:lvlJc w:val="left"/>
      <w:pPr>
        <w:ind w:left="0" w:firstLine="0"/>
      </w:pPr>
    </w:lvl>
  </w:abstractNum>
  <w:abstractNum w:abstractNumId="8">
    <w:nsid w:val="00000009"/>
    <w:multiLevelType w:val="singleLevel"/>
    <w:tmpl w:val="00000009"/>
    <w:lvl w:ilvl="0" w:tentative="0">
      <w:start w:val="1"/>
      <w:numFmt w:val="decimal"/>
      <w:suff w:val="nothing"/>
      <w:lvlText w:val="%1．"/>
      <w:lvlJc w:val="left"/>
      <w:pPr>
        <w:ind w:left="0" w:firstLine="0"/>
      </w:pPr>
    </w:lvl>
  </w:abstractNum>
  <w:abstractNum w:abstractNumId="9">
    <w:nsid w:val="0000000A"/>
    <w:multiLevelType w:val="singleLevel"/>
    <w:tmpl w:val="0000000A"/>
    <w:lvl w:ilvl="0" w:tentative="0">
      <w:start w:val="1"/>
      <w:numFmt w:val="decimal"/>
      <w:suff w:val="nothing"/>
      <w:lvlText w:val="%1．"/>
      <w:lvlJc w:val="left"/>
      <w:pPr>
        <w:ind w:left="0" w:firstLine="0"/>
      </w:pPr>
    </w:lvl>
  </w:abstractNum>
  <w:abstractNum w:abstractNumId="10">
    <w:nsid w:val="0000000C"/>
    <w:multiLevelType w:val="singleLevel"/>
    <w:tmpl w:val="0000000C"/>
    <w:lvl w:ilvl="0" w:tentative="0">
      <w:start w:val="2"/>
      <w:numFmt w:val="decimal"/>
      <w:suff w:val="nothing"/>
      <w:lvlText w:val="%1．"/>
      <w:lvlJc w:val="left"/>
      <w:pPr>
        <w:ind w:left="0" w:firstLine="0"/>
      </w:pPr>
    </w:lvl>
  </w:abstractNum>
  <w:abstractNum w:abstractNumId="11">
    <w:nsid w:val="0000000E"/>
    <w:multiLevelType w:val="singleLevel"/>
    <w:tmpl w:val="0000000E"/>
    <w:lvl w:ilvl="0" w:tentative="0">
      <w:start w:val="2"/>
      <w:numFmt w:val="decimal"/>
      <w:suff w:val="nothing"/>
      <w:lvlText w:val="%1．"/>
      <w:lvlJc w:val="left"/>
      <w:pPr>
        <w:ind w:left="0" w:firstLine="0"/>
      </w:pPr>
    </w:lvl>
  </w:abstractNum>
  <w:abstractNum w:abstractNumId="12">
    <w:nsid w:val="00000011"/>
    <w:multiLevelType w:val="singleLevel"/>
    <w:tmpl w:val="00000011"/>
    <w:lvl w:ilvl="0" w:tentative="0">
      <w:start w:val="1"/>
      <w:numFmt w:val="decimal"/>
      <w:suff w:val="nothing"/>
      <w:lvlText w:val="%1．"/>
      <w:lvlJc w:val="left"/>
      <w:pPr>
        <w:ind w:left="0" w:firstLine="0"/>
      </w:pPr>
    </w:lvl>
  </w:abstractNum>
  <w:abstractNum w:abstractNumId="13">
    <w:nsid w:val="00000012"/>
    <w:multiLevelType w:val="singleLevel"/>
    <w:tmpl w:val="00000012"/>
    <w:lvl w:ilvl="0" w:tentative="0">
      <w:start w:val="1"/>
      <w:numFmt w:val="decimal"/>
      <w:suff w:val="nothing"/>
      <w:lvlText w:val="%1．"/>
      <w:lvlJc w:val="left"/>
      <w:pPr>
        <w:ind w:left="0" w:firstLine="0"/>
      </w:pPr>
    </w:lvl>
  </w:abstractNum>
  <w:abstractNum w:abstractNumId="14">
    <w:nsid w:val="00000013"/>
    <w:multiLevelType w:val="singleLevel"/>
    <w:tmpl w:val="00000013"/>
    <w:lvl w:ilvl="0" w:tentative="0">
      <w:start w:val="3"/>
      <w:numFmt w:val="decimal"/>
      <w:suff w:val="nothing"/>
      <w:lvlText w:val="%1．"/>
      <w:lvlJc w:val="left"/>
      <w:pPr>
        <w:ind w:left="0" w:firstLine="0"/>
      </w:pPr>
    </w:lvl>
  </w:abstractNum>
  <w:abstractNum w:abstractNumId="15">
    <w:nsid w:val="00000014"/>
    <w:multiLevelType w:val="singleLevel"/>
    <w:tmpl w:val="00000014"/>
    <w:lvl w:ilvl="0" w:tentative="0">
      <w:start w:val="1"/>
      <w:numFmt w:val="decimal"/>
      <w:suff w:val="nothing"/>
      <w:lvlText w:val="%1．"/>
      <w:lvlJc w:val="left"/>
      <w:pPr>
        <w:ind w:left="0" w:firstLine="0"/>
      </w:pPr>
    </w:lvl>
  </w:abstractNum>
  <w:abstractNum w:abstractNumId="16">
    <w:nsid w:val="00000015"/>
    <w:multiLevelType w:val="singleLevel"/>
    <w:tmpl w:val="00000015"/>
    <w:lvl w:ilvl="0" w:tentative="0">
      <w:start w:val="1"/>
      <w:numFmt w:val="decimal"/>
      <w:suff w:val="nothing"/>
      <w:lvlText w:val="%1．"/>
      <w:lvlJc w:val="left"/>
      <w:pPr>
        <w:ind w:left="0" w:firstLine="0"/>
      </w:pPr>
    </w:lvl>
  </w:abstractNum>
  <w:abstractNum w:abstractNumId="17">
    <w:nsid w:val="00000017"/>
    <w:multiLevelType w:val="singleLevel"/>
    <w:tmpl w:val="00000017"/>
    <w:lvl w:ilvl="0" w:tentative="0">
      <w:start w:val="1"/>
      <w:numFmt w:val="decimal"/>
      <w:suff w:val="nothing"/>
      <w:lvlText w:val="%1．"/>
      <w:lvlJc w:val="left"/>
      <w:pPr>
        <w:ind w:left="0" w:firstLine="0"/>
      </w:pPr>
    </w:lvl>
  </w:abstractNum>
  <w:abstractNum w:abstractNumId="18">
    <w:nsid w:val="00000018"/>
    <w:multiLevelType w:val="singleLevel"/>
    <w:tmpl w:val="00000018"/>
    <w:lvl w:ilvl="0" w:tentative="0">
      <w:start w:val="1"/>
      <w:numFmt w:val="decimal"/>
      <w:suff w:val="nothing"/>
      <w:lvlText w:val="%1．"/>
      <w:lvlJc w:val="left"/>
      <w:pPr>
        <w:ind w:left="0" w:firstLine="0"/>
      </w:pPr>
    </w:lvl>
  </w:abstractNum>
  <w:num w:numId="1">
    <w:abstractNumId w:val="4"/>
  </w:num>
  <w:num w:numId="2">
    <w:abstractNumId w:val="18"/>
  </w:num>
  <w:num w:numId="3">
    <w:abstractNumId w:val="9"/>
  </w:num>
  <w:num w:numId="4">
    <w:abstractNumId w:val="10"/>
  </w:num>
  <w:num w:numId="5">
    <w:abstractNumId w:val="7"/>
  </w:num>
  <w:num w:numId="6">
    <w:abstractNumId w:val="11"/>
  </w:num>
  <w:num w:numId="7">
    <w:abstractNumId w:val="14"/>
  </w:num>
  <w:num w:numId="8">
    <w:abstractNumId w:val="8"/>
  </w:num>
  <w:num w:numId="9">
    <w:abstractNumId w:val="1"/>
  </w:num>
  <w:num w:numId="10">
    <w:abstractNumId w:val="12"/>
  </w:num>
  <w:num w:numId="11">
    <w:abstractNumId w:val="6"/>
  </w:num>
  <w:num w:numId="12">
    <w:abstractNumId w:val="0"/>
  </w:num>
  <w:num w:numId="13">
    <w:abstractNumId w:val="13"/>
  </w:num>
  <w:num w:numId="14">
    <w:abstractNumId w:val="15"/>
  </w:num>
  <w:num w:numId="15">
    <w:abstractNumId w:val="5"/>
  </w:num>
  <w:num w:numId="16">
    <w:abstractNumId w:val="3"/>
  </w:num>
  <w:num w:numId="17">
    <w:abstractNumId w:val="1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M3Y2UwNzQxZTg2ZTY3OTg5MDYyYjczNDRmY2EifQ=="/>
  </w:docVars>
  <w:rsids>
    <w:rsidRoot w:val="00000000"/>
    <w:rsid w:val="0065367C"/>
    <w:rsid w:val="0A62368D"/>
    <w:rsid w:val="0BD87233"/>
    <w:rsid w:val="0C11089C"/>
    <w:rsid w:val="0E212639"/>
    <w:rsid w:val="0E9100D4"/>
    <w:rsid w:val="0EAD041A"/>
    <w:rsid w:val="0F53029D"/>
    <w:rsid w:val="10A1053B"/>
    <w:rsid w:val="1428665D"/>
    <w:rsid w:val="14B3099F"/>
    <w:rsid w:val="160C5A31"/>
    <w:rsid w:val="1634517A"/>
    <w:rsid w:val="19D50351"/>
    <w:rsid w:val="24E30CCB"/>
    <w:rsid w:val="29D32454"/>
    <w:rsid w:val="2B6F70DB"/>
    <w:rsid w:val="34951FE2"/>
    <w:rsid w:val="38C13F23"/>
    <w:rsid w:val="3B4E01D0"/>
    <w:rsid w:val="40F16F37"/>
    <w:rsid w:val="42350526"/>
    <w:rsid w:val="42854CE1"/>
    <w:rsid w:val="471054F8"/>
    <w:rsid w:val="48797B82"/>
    <w:rsid w:val="4DE4683D"/>
    <w:rsid w:val="4E3E2F8B"/>
    <w:rsid w:val="4E87639D"/>
    <w:rsid w:val="55FD36BE"/>
    <w:rsid w:val="5A4E0C6F"/>
    <w:rsid w:val="5D5024FF"/>
    <w:rsid w:val="5F7E0FE0"/>
    <w:rsid w:val="61596D14"/>
    <w:rsid w:val="61C50268"/>
    <w:rsid w:val="63077312"/>
    <w:rsid w:val="6DCE6999"/>
    <w:rsid w:val="72971268"/>
    <w:rsid w:val="73E77A8F"/>
    <w:rsid w:val="CEEB5BE7"/>
    <w:rsid w:val="FDAD8EF0"/>
    <w:rsid w:val="FFBD3145"/>
    <w:rsid w:val="FFBED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楷体_GB2312"/>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tabs>
        <w:tab w:val="center" w:pos="4153"/>
        <w:tab w:val="right" w:pos="8306"/>
      </w:tabs>
      <w:snapToGrid w:val="0"/>
      <w:jc w:val="center"/>
    </w:pPr>
    <w:rPr>
      <w:rFonts w:ascii="Calibri" w:hAnsi="Calibri" w:eastAsia="宋体" w:cs="Times New Roman"/>
      <w:sz w:val="18"/>
      <w:szCs w:val="18"/>
    </w:rPr>
  </w:style>
  <w:style w:type="character" w:styleId="7">
    <w:name w:val="Strong"/>
    <w:basedOn w:val="6"/>
    <w:qFormat/>
    <w:uiPriority w:val="0"/>
    <w:rPr>
      <w:rFonts w:ascii="Calibri" w:hAnsi="Calibri" w:eastAsia="宋体" w:cs="Times New Roman"/>
      <w:b/>
      <w:bCs/>
    </w:rPr>
  </w:style>
  <w:style w:type="paragraph" w:styleId="8">
    <w:name w:val="List Paragraph"/>
    <w:basedOn w:val="1"/>
    <w:qFormat/>
    <w:uiPriority w:val="0"/>
    <w:pPr>
      <w:ind w:firstLine="420" w:firstLineChars="200"/>
    </w:pPr>
    <w:rPr>
      <w:rFonts w:ascii="Calibri" w:hAnsi="Calibri" w:eastAsia="宋体" w:cs="Times New Roman"/>
    </w:rPr>
  </w:style>
  <w:style w:type="paragraph" w:customStyle="1" w:styleId="9">
    <w:name w:val="正文（缩进）"/>
    <w:basedOn w:val="1"/>
    <w:qFormat/>
    <w:uiPriority w:val="0"/>
    <w:pPr>
      <w:spacing w:before="156" w:after="156"/>
      <w:ind w:firstLine="48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9017</Words>
  <Characters>9088</Characters>
  <Lines>0</Lines>
  <Paragraphs>0</Paragraphs>
  <TotalTime>80</TotalTime>
  <ScaleCrop>false</ScaleCrop>
  <LinksUpToDate>false</LinksUpToDate>
  <CharactersWithSpaces>9105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2024-05-15T22:31:00Z</dcterms:created>
  <dc:creator>bss19</dc:creator>
  <cp:lastModifiedBy>Smile</cp:lastModifiedBy>
  <cp:lastPrinted>2024-08-12T09:23:00Z</cp:lastPrinted>
  <dcterms:modified xsi:type="dcterms:W3CDTF">2024-08-19T02:00:36Z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BE609F101258468AAC3A0DF97E56A65C_13</vt:lpwstr>
  </property>
</Properties>
</file>